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rPr>
          <w:rFonts w:hint="default"/>
          <w:b/>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CT</w:t>
      </w:r>
      <w:r>
        <w:rPr>
          <w:b/>
          <w:sz w:val="24"/>
        </w:rPr>
        <w:fldChar w:fldCharType="end"/>
      </w:r>
      <w:r>
        <w:rPr>
          <w:b/>
          <w:sz w:val="24"/>
        </w:rPr>
        <w:t xml:space="preserve"> WG3 Meeting #</w:t>
      </w:r>
      <w:r>
        <w:rPr>
          <w:rFonts w:hint="eastAsia"/>
          <w:b/>
          <w:sz w:val="24"/>
          <w:lang w:val="en-US" w:eastAsia="zh-CN"/>
        </w:rPr>
        <w:t>134</w:t>
      </w:r>
      <w:r>
        <w:rPr>
          <w:b/>
          <w:i/>
          <w:sz w:val="28"/>
        </w:rPr>
        <w:tab/>
      </w:r>
      <w:r>
        <w:rPr>
          <w:b/>
          <w:sz w:val="28"/>
        </w:rPr>
        <w:fldChar w:fldCharType="begin"/>
      </w:r>
      <w:r>
        <w:rPr>
          <w:b/>
          <w:sz w:val="28"/>
        </w:rPr>
        <w:instrText xml:space="preserve"> DOCPROPERTY  Tdoc#  \* MERGEFORMAT </w:instrText>
      </w:r>
      <w:r>
        <w:rPr>
          <w:b/>
          <w:sz w:val="28"/>
        </w:rPr>
        <w:fldChar w:fldCharType="separate"/>
      </w:r>
      <w:r>
        <w:rPr>
          <w:b/>
          <w:sz w:val="28"/>
        </w:rPr>
        <w:t>C3-2</w:t>
      </w:r>
      <w:r>
        <w:rPr>
          <w:b/>
          <w:sz w:val="28"/>
        </w:rPr>
        <w:fldChar w:fldCharType="end"/>
      </w:r>
      <w:r>
        <w:rPr>
          <w:rFonts w:hint="eastAsia"/>
          <w:b/>
          <w:sz w:val="28"/>
          <w:lang w:val="en-US" w:eastAsia="zh-CN"/>
        </w:rPr>
        <w:t>42272</w:t>
      </w:r>
    </w:p>
    <w:p>
      <w:pPr>
        <w:pStyle w:val="130"/>
        <w:outlineLvl w:val="0"/>
        <w:rPr>
          <w:b/>
          <w:sz w:val="24"/>
          <w:lang w:val="en-US" w:eastAsia="zh-CN"/>
        </w:rPr>
      </w:pPr>
      <w:r>
        <w:fldChar w:fldCharType="begin"/>
      </w:r>
      <w:r>
        <w:instrText xml:space="preserve"> DOCPROPERTY  Location  \* MERGEFORMAT </w:instrText>
      </w:r>
      <w:r>
        <w:fldChar w:fldCharType="separate"/>
      </w:r>
      <w:r>
        <w:fldChar w:fldCharType="end"/>
      </w:r>
      <w:r>
        <w:rPr>
          <w:b/>
          <w:sz w:val="24"/>
        </w:rPr>
        <w:t>Changsha, China, 15 - 19 April</w:t>
      </w:r>
      <w:r>
        <w:rPr>
          <w:rFonts w:hint="eastAsia"/>
          <w:b/>
          <w:sz w:val="24"/>
          <w:lang w:val="en-US" w:eastAsia="zh-CN"/>
        </w:rPr>
        <w:t>,</w:t>
      </w:r>
      <w:r>
        <w:rPr>
          <w:rFonts w:hint="eastAsia"/>
          <w:b/>
          <w:sz w:val="24"/>
        </w:rPr>
        <w:t xml:space="preserve"> 2024</w:t>
      </w:r>
      <w:r>
        <w:rPr>
          <w:b/>
          <w:i/>
          <w:sz w:val="28"/>
        </w:rPr>
        <w:tab/>
      </w:r>
      <w:r>
        <w:rPr>
          <w:rFonts w:hint="eastAsia"/>
          <w:b/>
          <w:i/>
          <w:sz w:val="28"/>
          <w:lang w:val="en-US" w:eastAsia="zh-CN"/>
        </w:rPr>
        <w:t xml:space="preserve">                                          </w:t>
      </w:r>
      <w:r>
        <w:rPr>
          <w:b/>
          <w:sz w:val="18"/>
          <w:szCs w:val="18"/>
        </w:rPr>
        <w:t>(Revision of C3-24</w:t>
      </w:r>
      <w:r>
        <w:rPr>
          <w:rFonts w:hint="eastAsia"/>
          <w:b/>
          <w:sz w:val="18"/>
          <w:szCs w:val="18"/>
          <w:lang w:val="en-US" w:eastAsia="zh-CN"/>
        </w:rPr>
        <w:t>XXXX)</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rFonts w:hint="default" w:eastAsia="宋体"/>
                <w:b/>
                <w:sz w:val="28"/>
                <w:lang w:val="en-US" w:eastAsia="zh-CN"/>
              </w:rPr>
            </w:pPr>
            <w:r>
              <w:rPr>
                <w:b/>
                <w:sz w:val="28"/>
              </w:rPr>
              <w:t>29.</w:t>
            </w:r>
            <w:r>
              <w:rPr>
                <w:rFonts w:hint="eastAsia"/>
                <w:b/>
                <w:sz w:val="28"/>
                <w:lang w:val="en-US" w:eastAsia="zh-CN"/>
              </w:rPr>
              <w:t>514</w:t>
            </w:r>
          </w:p>
        </w:tc>
        <w:tc>
          <w:tcPr>
            <w:tcW w:w="709" w:type="dxa"/>
          </w:tcPr>
          <w:p>
            <w:pPr>
              <w:pStyle w:val="130"/>
              <w:spacing w:after="0"/>
              <w:jc w:val="center"/>
            </w:pPr>
            <w:r>
              <w:rPr>
                <w:b/>
                <w:sz w:val="28"/>
              </w:rPr>
              <w:t>CR</w:t>
            </w:r>
          </w:p>
        </w:tc>
        <w:tc>
          <w:tcPr>
            <w:tcW w:w="1276" w:type="dxa"/>
            <w:shd w:val="pct30" w:color="FFFF00" w:fill="auto"/>
          </w:tcPr>
          <w:p>
            <w:pPr>
              <w:pStyle w:val="130"/>
              <w:spacing w:after="0"/>
              <w:jc w:val="center"/>
              <w:rPr>
                <w:rFonts w:hint="default"/>
                <w:b/>
                <w:sz w:val="28"/>
                <w:lang w:val="en-US" w:eastAsia="zh-CN"/>
              </w:rPr>
            </w:pPr>
            <w:r>
              <w:rPr>
                <w:rFonts w:hint="eastAsia"/>
                <w:b/>
                <w:sz w:val="28"/>
                <w:lang w:val="en-US" w:eastAsia="zh-CN"/>
              </w:rPr>
              <w:t>0625</w:t>
            </w:r>
            <w:bookmarkStart w:id="14" w:name="_GoBack"/>
            <w:bookmarkEnd w:id="14"/>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lang w:val="en-US" w:eastAsia="zh-CN"/>
              </w:rPr>
            </w:pPr>
            <w:r>
              <w:rPr>
                <w:rFonts w:hint="eastAsia"/>
                <w:b/>
                <w:sz w:val="28"/>
                <w:lang w:val="en-US" w:eastAsia="zh-CN"/>
              </w:rPr>
              <w:t>-</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rPr>
                <w:b/>
                <w:sz w:val="28"/>
              </w:rPr>
              <w:t>18.</w:t>
            </w:r>
            <w:r>
              <w:rPr>
                <w:rFonts w:hint="eastAsia"/>
                <w:b/>
                <w:sz w:val="28"/>
                <w:lang w:val="en-US" w:eastAsia="zh-CN"/>
              </w:rPr>
              <w:t>5</w:t>
            </w:r>
            <w:r>
              <w:rPr>
                <w:b/>
                <w:sz w:val="28"/>
              </w:rPr>
              <w:t>.0</w:t>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4"/>
                <w:rFonts w:cs="Arial"/>
                <w:b/>
                <w:i/>
                <w:color w:val="FF0000"/>
              </w:rPr>
              <w:t>HE</w:t>
            </w:r>
            <w:bookmarkStart w:id="0" w:name="_Hlt497126619"/>
            <w:r>
              <w:rPr>
                <w:rStyle w:val="94"/>
                <w:rFonts w:cs="Arial"/>
                <w:b/>
                <w:i/>
                <w:color w:val="FF0000"/>
              </w:rPr>
              <w:t>L</w:t>
            </w:r>
            <w:bookmarkEnd w:id="0"/>
            <w:r>
              <w:rPr>
                <w:rStyle w:val="94"/>
                <w:rFonts w:cs="Arial"/>
                <w:b/>
                <w:i/>
                <w:color w:val="FF0000"/>
              </w:rPr>
              <w:t>P</w:t>
            </w:r>
            <w:r>
              <w:rPr>
                <w:rStyle w:val="9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4"/>
                <w:rFonts w:cs="Arial"/>
                <w:i/>
              </w:rPr>
              <w:t>http://www.3gpp.org/Change-Requests</w:t>
            </w:r>
            <w:r>
              <w:rPr>
                <w:rStyle w:val="94"/>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rPr>
            </w:pPr>
            <w:r>
              <w:rPr>
                <w:b/>
                <w:i/>
              </w:rPr>
              <w:t>Proposed change affects:</w:t>
            </w:r>
          </w:p>
        </w:tc>
        <w:tc>
          <w:tcPr>
            <w:tcW w:w="1418" w:type="dxa"/>
          </w:tcPr>
          <w:p>
            <w:pPr>
              <w:pStyle w:val="13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rPr>
            </w:pPr>
          </w:p>
        </w:tc>
        <w:tc>
          <w:tcPr>
            <w:tcW w:w="709" w:type="dxa"/>
            <w:tcBorders>
              <w:left w:val="single" w:color="auto" w:sz="4" w:space="0"/>
            </w:tcBorders>
          </w:tcPr>
          <w:p>
            <w:pPr>
              <w:pStyle w:val="13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rPr>
            </w:pPr>
          </w:p>
        </w:tc>
        <w:tc>
          <w:tcPr>
            <w:tcW w:w="2126" w:type="dxa"/>
          </w:tcPr>
          <w:p>
            <w:pPr>
              <w:pStyle w:val="13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b/>
                <w:caps/>
              </w:rPr>
            </w:pPr>
          </w:p>
        </w:tc>
        <w:tc>
          <w:tcPr>
            <w:tcW w:w="1418" w:type="dxa"/>
            <w:tcBorders>
              <w:left w:val="nil"/>
            </w:tcBorders>
          </w:tcPr>
          <w:p>
            <w:pPr>
              <w:pStyle w:val="13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pPr>
            <w:r>
              <w:rPr>
                <w:rFonts w:hint="eastAsia"/>
                <w:lang w:val="en-US" w:eastAsia="zh-CN"/>
              </w:rPr>
              <w:t>Update</w:t>
            </w:r>
            <w:r>
              <w:rPr>
                <w:rFonts w:hint="eastAsia"/>
                <w:lang w:eastAsia="en-GB"/>
              </w:rPr>
              <w:t xml:space="preserve"> of XRM_5G feature name for TSC Traffic</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pPr>
            <w:r>
              <w:rPr>
                <w:lang w:eastAsia="ja-JP"/>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t>CT3</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lang w:eastAsia="zh-CN"/>
              </w:rPr>
            </w:pPr>
            <w:r>
              <w:rPr>
                <w:rFonts w:hint="eastAsia"/>
                <w:lang w:eastAsia="zh-CN"/>
              </w:rPr>
              <w:t>X</w:t>
            </w:r>
            <w:r>
              <w:rPr>
                <w:lang w:eastAsia="zh-CN"/>
              </w:rPr>
              <w:t>RM</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default" w:eastAsia="宋体"/>
                <w:lang w:val="en-US" w:eastAsia="zh-CN"/>
              </w:rPr>
            </w:pPr>
            <w:r>
              <w:t>202</w:t>
            </w:r>
            <w:r>
              <w:rPr>
                <w:rFonts w:hint="eastAsia"/>
                <w:lang w:val="en-US" w:eastAsia="zh-CN"/>
              </w:rPr>
              <w:t>4</w:t>
            </w:r>
            <w:r>
              <w:t>-0</w:t>
            </w:r>
            <w:r>
              <w:rPr>
                <w:rFonts w:hint="eastAsia"/>
                <w:lang w:val="en-US" w:eastAsia="zh-CN"/>
              </w:rPr>
              <w:t>4</w:t>
            </w:r>
            <w:r>
              <w:t>-</w:t>
            </w:r>
            <w:r>
              <w:rPr>
                <w:rFonts w:hint="eastAsia"/>
                <w:lang w:val="en-US" w:eastAsia="zh-CN"/>
              </w:rPr>
              <w:t>08</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b/>
              </w:rPr>
            </w:pPr>
            <w:r>
              <w:rPr>
                <w:b/>
              </w:rPr>
              <w:t>F</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4"/>
                <w:sz w:val="18"/>
              </w:rPr>
              <w:t>TR 21.900</w:t>
            </w:r>
            <w:r>
              <w:rPr>
                <w:rStyle w:val="94"/>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rFonts w:hint="eastAsia"/>
                <w:i/>
                <w:sz w:val="18"/>
                <w:lang w:val="en-US" w:eastAsia="zh-CN"/>
              </w:rPr>
              <w:t>s</w:t>
            </w:r>
            <w:r>
              <w:rPr>
                <w:i/>
                <w:sz w:val="18"/>
              </w:rPr>
              <w:t>)</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spacing w:after="0"/>
              <w:ind w:left="100"/>
            </w:pPr>
            <w:r>
              <w:rPr>
                <w:rFonts w:hint="eastAsia"/>
                <w:lang w:val="en-US" w:eastAsia="zh-CN"/>
              </w:rPr>
              <w:t>A</w:t>
            </w:r>
            <w:r>
              <w:t xml:space="preserve">ccording to the approved </w:t>
            </w:r>
            <w:r>
              <w:rPr>
                <w:rFonts w:hint="eastAsia"/>
                <w:lang w:val="en-US" w:eastAsia="zh-CN"/>
              </w:rPr>
              <w:t>C3</w:t>
            </w:r>
            <w:r>
              <w:t>-2</w:t>
            </w:r>
            <w:r>
              <w:rPr>
                <w:rFonts w:hint="eastAsia"/>
                <w:lang w:val="en-US" w:eastAsia="zh-CN"/>
              </w:rPr>
              <w:t>4</w:t>
            </w:r>
            <w:r>
              <w:t>1</w:t>
            </w:r>
            <w:r>
              <w:rPr>
                <w:rFonts w:hint="eastAsia"/>
                <w:lang w:val="en-US" w:eastAsia="zh-CN"/>
              </w:rPr>
              <w:t>342, t</w:t>
            </w:r>
            <w:r>
              <w:t xml:space="preserve">he </w:t>
            </w:r>
            <w:r>
              <w:rPr>
                <w:rFonts w:hint="eastAsia"/>
                <w:lang w:val="en-US" w:eastAsia="zh-CN"/>
              </w:rPr>
              <w:t>TSC type of traffic has been clarified for supporting of the multi-modal communication services</w:t>
            </w:r>
            <w:r>
              <w:t>.</w:t>
            </w:r>
          </w:p>
          <w:p>
            <w:pPr>
              <w:pStyle w:val="130"/>
              <w:spacing w:after="0"/>
              <w:ind w:left="100"/>
              <w:rPr>
                <w:rFonts w:hint="eastAsia"/>
                <w:lang w:val="en-US" w:eastAsia="zh-CN"/>
              </w:rPr>
            </w:pPr>
            <w:r>
              <w:rPr>
                <w:rFonts w:hint="eastAsia"/>
                <w:lang w:val="en-US" w:eastAsia="zh-CN"/>
              </w:rPr>
              <w:t>However, the</w:t>
            </w:r>
            <w:r>
              <w:rPr>
                <w:rFonts w:ascii="Arial" w:hAnsi="Arial"/>
                <w:lang w:val="en-IN"/>
              </w:rPr>
              <w:t xml:space="preserve"> </w:t>
            </w:r>
            <w:r>
              <w:rPr>
                <w:rFonts w:hint="eastAsia" w:ascii="Arial" w:hAnsi="Arial"/>
                <w:lang w:val="en-US" w:eastAsia="zh-CN"/>
              </w:rPr>
              <w:t xml:space="preserve">feature name </w:t>
            </w:r>
            <w:r>
              <w:t>"</w:t>
            </w:r>
            <w:r>
              <w:rPr>
                <w:rFonts w:ascii="Arial" w:hAnsi="Arial"/>
                <w:lang w:val="en-IN"/>
              </w:rPr>
              <w:t>XRM_5G</w:t>
            </w:r>
            <w:r>
              <w:t>"</w:t>
            </w:r>
            <w:r>
              <w:rPr>
                <w:rFonts w:hint="eastAsia" w:ascii="Arial" w:hAnsi="Arial"/>
                <w:lang w:val="en-US" w:eastAsia="zh-CN"/>
              </w:rPr>
              <w:t xml:space="preserve"> </w:t>
            </w:r>
            <w:r>
              <w:rPr>
                <w:rFonts w:ascii="Arial" w:hAnsi="Arial"/>
                <w:lang w:val="en-IN"/>
              </w:rPr>
              <w:t xml:space="preserve">exists in few of the attributes which has to be </w:t>
            </w:r>
            <w:r>
              <w:rPr>
                <w:rFonts w:hint="eastAsia" w:ascii="Arial" w:hAnsi="Arial"/>
                <w:lang w:val="en-US" w:eastAsia="zh-CN"/>
              </w:rPr>
              <w:t>replaced</w:t>
            </w:r>
            <w:r>
              <w:rPr>
                <w:rFonts w:ascii="Arial" w:hAnsi="Arial"/>
                <w:lang w:val="en-IN"/>
              </w:rPr>
              <w:t xml:space="preserve"> </w:t>
            </w:r>
            <w:r>
              <w:rPr>
                <w:rFonts w:hint="eastAsia" w:ascii="Arial" w:hAnsi="Arial"/>
                <w:lang w:val="en-US" w:eastAsia="zh-CN"/>
              </w:rPr>
              <w:t>with the</w:t>
            </w:r>
            <w:r>
              <w:rPr>
                <w:rFonts w:ascii="Arial" w:hAnsi="Arial"/>
                <w:lang w:val="en-IN"/>
              </w:rPr>
              <w:t xml:space="preserve"> feature name</w:t>
            </w:r>
            <w:r>
              <w:rPr>
                <w:rFonts w:hint="eastAsia" w:ascii="Arial" w:hAnsi="Arial"/>
                <w:lang w:val="en-US" w:eastAsia="zh-CN"/>
              </w:rPr>
              <w:t xml:space="preserve"> </w:t>
            </w:r>
            <w:r>
              <w:t>"</w:t>
            </w:r>
            <w:r>
              <w:rPr>
                <w:rFonts w:cs="Arial"/>
                <w:szCs w:val="18"/>
              </w:rPr>
              <w:t>MultiMedia</w:t>
            </w:r>
            <w:r>
              <w:t>"</w:t>
            </w:r>
            <w:r>
              <w:rPr>
                <w:rFonts w:ascii="Arial" w:hAnsi="Arial"/>
                <w:lang w:val="en-I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ind w:left="100"/>
            </w:pPr>
            <w:r>
              <w:t>This CR proposed to:</w:t>
            </w:r>
          </w:p>
          <w:p>
            <w:pPr>
              <w:pStyle w:val="130"/>
              <w:numPr>
                <w:ilvl w:val="0"/>
                <w:numId w:val="5"/>
              </w:numPr>
              <w:spacing w:after="0"/>
              <w:rPr>
                <w:rFonts w:eastAsia="等线"/>
                <w:lang w:val="en-US" w:eastAsia="zh-CN"/>
              </w:rPr>
            </w:pPr>
            <w:r>
              <w:rPr>
                <w:rFonts w:hint="eastAsia"/>
                <w:lang w:val="en-US" w:eastAsia="zh-CN"/>
              </w:rPr>
              <w:t>Replace the</w:t>
            </w:r>
            <w:r>
              <w:rPr>
                <w:rFonts w:ascii="Arial" w:hAnsi="Arial"/>
                <w:lang w:val="en-IN"/>
              </w:rPr>
              <w:t xml:space="preserve"> </w:t>
            </w:r>
            <w:r>
              <w:rPr>
                <w:rFonts w:hint="eastAsia" w:ascii="Arial" w:hAnsi="Arial"/>
                <w:lang w:val="en-US" w:eastAsia="zh-CN"/>
              </w:rPr>
              <w:t xml:space="preserve">feature name </w:t>
            </w:r>
            <w:r>
              <w:t>"</w:t>
            </w:r>
            <w:r>
              <w:rPr>
                <w:rFonts w:ascii="Arial" w:hAnsi="Arial"/>
                <w:lang w:val="en-IN"/>
              </w:rPr>
              <w:t>XRM_5G</w:t>
            </w:r>
            <w:r>
              <w:t>"</w:t>
            </w:r>
            <w:r>
              <w:rPr>
                <w:rFonts w:ascii="Arial" w:hAnsi="Arial"/>
                <w:lang w:val="en-IN"/>
              </w:rPr>
              <w:t xml:space="preserve"> </w:t>
            </w:r>
            <w:r>
              <w:rPr>
                <w:rFonts w:hint="eastAsia" w:ascii="Arial" w:hAnsi="Arial"/>
                <w:lang w:val="en-US" w:eastAsia="zh-CN"/>
              </w:rPr>
              <w:t>with the</w:t>
            </w:r>
            <w:r>
              <w:rPr>
                <w:rFonts w:ascii="Arial" w:hAnsi="Arial"/>
                <w:lang w:val="en-IN"/>
              </w:rPr>
              <w:t xml:space="preserve"> feature name</w:t>
            </w:r>
            <w:r>
              <w:rPr>
                <w:rFonts w:hint="eastAsia" w:ascii="Arial" w:hAnsi="Arial"/>
                <w:lang w:val="en-US" w:eastAsia="zh-CN"/>
              </w:rPr>
              <w:t xml:space="preserve"> </w:t>
            </w:r>
            <w:r>
              <w:t>"</w:t>
            </w:r>
            <w:r>
              <w:rPr>
                <w:rFonts w:cs="Arial"/>
                <w:szCs w:val="18"/>
              </w:rPr>
              <w:t>MultiMedia</w:t>
            </w:r>
            <w:r>
              <w:t>"</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spacing w:after="0"/>
              <w:ind w:left="100"/>
              <w:rPr>
                <w:rFonts w:hint="eastAsia" w:eastAsia="宋体"/>
                <w:lang w:val="en-US" w:eastAsia="zh-CN"/>
              </w:rPr>
            </w:pPr>
            <w:r>
              <w:rPr>
                <w:rFonts w:hint="eastAsia"/>
                <w:lang w:val="en-US" w:eastAsia="zh-CN"/>
              </w:rPr>
              <w:t xml:space="preserve">Misalignment of the feature name </w:t>
            </w:r>
            <w:r>
              <w:t>leads to wrong implementation</w:t>
            </w:r>
            <w:r>
              <w:rPr>
                <w:rFonts w:hint="eastAsia"/>
                <w:lang w:val="en-US" w:eastAsia="zh-CN"/>
              </w:rPr>
              <w:t>.</w:t>
            </w:r>
          </w:p>
        </w:tc>
      </w:tr>
      <w:tr>
        <w:tblPrEx>
          <w:tblCellMar>
            <w:top w:w="0" w:type="dxa"/>
            <w:left w:w="42" w:type="dxa"/>
            <w:bottom w:w="0" w:type="dxa"/>
            <w:right w:w="42" w:type="dxa"/>
          </w:tblCellMar>
        </w:tblPrEx>
        <w:trPr>
          <w:trHeight w:val="90" w:hRule="atLeast"/>
        </w:trPr>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lang w:val="en-US" w:eastAsia="zh-CN"/>
              </w:rPr>
            </w:pPr>
            <w:r>
              <w:rPr>
                <w:rFonts w:hint="eastAsia"/>
                <w:lang w:val="en-US" w:eastAsia="zh-CN"/>
              </w:rPr>
              <w:t>5.6.1, 5.6.2.7, 5.6.2.26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bCs/>
                <w:caps/>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bCs/>
                <w:caps/>
              </w:rPr>
              <w:t>X</w:t>
            </w: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bCs/>
                <w:caps/>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rPr>
                <w:lang w:eastAsia="zh-CN"/>
              </w:rPr>
            </w:pPr>
            <w:r>
              <w:rPr>
                <w:rFonts w:hint="eastAsia"/>
                <w:lang w:eastAsia="zh-CN"/>
              </w:rPr>
              <w:t>T</w:t>
            </w:r>
            <w:r>
              <w:rPr>
                <w:lang w:eastAsia="zh-CN"/>
              </w:rPr>
              <w:t>his CR does not impact any OpenAPI file.</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pPr>
          </w:p>
        </w:tc>
      </w:tr>
    </w:tbl>
    <w:p>
      <w:pPr>
        <w:pStyle w:val="130"/>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outlineLvl w:val="0"/>
        <w:rPr>
          <w:b/>
          <w:bCs/>
        </w:rPr>
      </w:pPr>
      <w:r>
        <w:rPr>
          <w:b/>
          <w:bCs/>
        </w:rPr>
        <w:t>Additional discussion(if needed):</w:t>
      </w:r>
    </w:p>
    <w:p>
      <w:pPr>
        <w:outlineLvl w:val="0"/>
        <w:rPr>
          <w:b/>
          <w:bCs/>
          <w:sz w:val="24"/>
          <w:szCs w:val="24"/>
        </w:rPr>
      </w:pPr>
      <w:r>
        <w:rPr>
          <w:b/>
          <w:bCs/>
          <w:sz w:val="24"/>
          <w:szCs w:val="24"/>
        </w:rPr>
        <w:t>Proposed changes:</w:t>
      </w:r>
    </w:p>
    <w:p>
      <w:pPr>
        <w:pBdr>
          <w:top w:val="single" w:color="auto" w:sz="4" w:space="1"/>
          <w:left w:val="single" w:color="auto" w:sz="4" w:space="4"/>
          <w:bottom w:val="single" w:color="auto" w:sz="4" w:space="1"/>
          <w:right w:val="single" w:color="auto" w:sz="4" w:space="4"/>
        </w:pBdr>
        <w:jc w:val="center"/>
        <w:outlineLvl w:val="0"/>
        <w:rPr>
          <w:color w:val="0000FF"/>
          <w:sz w:val="28"/>
          <w:szCs w:val="28"/>
        </w:rPr>
      </w:pPr>
      <w:r>
        <w:rPr>
          <w:color w:val="0000FF"/>
          <w:sz w:val="28"/>
          <w:szCs w:val="28"/>
        </w:rPr>
        <w:t>*** 1st Change ***</w:t>
      </w:r>
    </w:p>
    <w:p>
      <w:pPr>
        <w:pStyle w:val="5"/>
      </w:pPr>
      <w:bookmarkStart w:id="1" w:name="_Toc129338927"/>
      <w:bookmarkStart w:id="2" w:name="_Toc161912454"/>
      <w:bookmarkStart w:id="3" w:name="_Toc36038411"/>
      <w:bookmarkStart w:id="4" w:name="_Toc28012453"/>
      <w:bookmarkStart w:id="5" w:name="_Toc51762435"/>
      <w:bookmarkStart w:id="6" w:name="_Toc45133681"/>
      <w:bookmarkStart w:id="7" w:name="_Toc59017007"/>
      <w:bookmarkStart w:id="8" w:name="_Hlk146291840"/>
      <w:r>
        <w:t>5.6.1</w:t>
      </w:r>
      <w:r>
        <w:tab/>
      </w:r>
      <w:r>
        <w:t>General</w:t>
      </w:r>
      <w:bookmarkEnd w:id="1"/>
      <w:bookmarkEnd w:id="2"/>
      <w:bookmarkEnd w:id="3"/>
      <w:bookmarkEnd w:id="4"/>
      <w:bookmarkEnd w:id="5"/>
      <w:bookmarkEnd w:id="6"/>
      <w:bookmarkEnd w:id="7"/>
    </w:p>
    <w:p>
      <w:r>
        <w:t>This clause specifies the application data model supported by the API.</w:t>
      </w:r>
    </w:p>
    <w:p>
      <w:r>
        <w:t>Table 5.6.1-1 specifies the data types defined for the Npcf_PolicyAuthorization service based interface protocol.</w:t>
      </w:r>
    </w:p>
    <w:p>
      <w:pPr>
        <w:pStyle w:val="104"/>
      </w:pPr>
      <w:r>
        <w:t>Table 5.6.1-1: Npcf_PolicyAuthorization specific Data Types</w:t>
      </w:r>
    </w:p>
    <w:tbl>
      <w:tblPr>
        <w:tblStyle w:val="89"/>
        <w:tblW w:w="961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2239"/>
        <w:gridCol w:w="1578"/>
        <w:gridCol w:w="4052"/>
        <w:gridCol w:w="175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tblHeader/>
          <w:jc w:val="center"/>
        </w:trPr>
        <w:tc>
          <w:tcPr>
            <w:tcW w:w="2239" w:type="dxa"/>
            <w:shd w:val="clear" w:color="auto" w:fill="C0C0C0"/>
            <w:noWrap w:val="0"/>
            <w:vAlign w:val="top"/>
          </w:tcPr>
          <w:p>
            <w:pPr>
              <w:pStyle w:val="100"/>
            </w:pPr>
            <w:r>
              <w:t>Data type</w:t>
            </w:r>
          </w:p>
        </w:tc>
        <w:tc>
          <w:tcPr>
            <w:tcW w:w="1578" w:type="dxa"/>
            <w:shd w:val="clear" w:color="auto" w:fill="C0C0C0"/>
            <w:noWrap w:val="0"/>
            <w:vAlign w:val="top"/>
          </w:tcPr>
          <w:p>
            <w:pPr>
              <w:pStyle w:val="100"/>
            </w:pPr>
            <w:r>
              <w:t>Section defined</w:t>
            </w:r>
          </w:p>
        </w:tc>
        <w:tc>
          <w:tcPr>
            <w:tcW w:w="4052" w:type="dxa"/>
            <w:shd w:val="clear" w:color="auto" w:fill="C0C0C0"/>
            <w:noWrap w:val="0"/>
            <w:vAlign w:val="top"/>
          </w:tcPr>
          <w:p>
            <w:pPr>
              <w:pStyle w:val="100"/>
            </w:pPr>
            <w:r>
              <w:t>Description</w:t>
            </w:r>
          </w:p>
        </w:tc>
        <w:tc>
          <w:tcPr>
            <w:tcW w:w="1750" w:type="dxa"/>
            <w:shd w:val="clear" w:color="auto" w:fill="C0C0C0"/>
            <w:noWrap w:val="0"/>
            <w:vAlign w:val="top"/>
          </w:tcPr>
          <w:p>
            <w:pPr>
              <w:pStyle w:val="100"/>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AcceptableServiceInfo</w:t>
            </w:r>
          </w:p>
        </w:tc>
        <w:tc>
          <w:tcPr>
            <w:tcW w:w="1578" w:type="dxa"/>
            <w:noWrap w:val="0"/>
            <w:vAlign w:val="top"/>
          </w:tcPr>
          <w:p>
            <w:pPr>
              <w:pStyle w:val="102"/>
            </w:pPr>
            <w:r>
              <w:t>5.6.2.30</w:t>
            </w:r>
          </w:p>
        </w:tc>
        <w:tc>
          <w:tcPr>
            <w:tcW w:w="4052" w:type="dxa"/>
            <w:noWrap w:val="0"/>
            <w:vAlign w:val="top"/>
          </w:tcPr>
          <w:p>
            <w:pPr>
              <w:pStyle w:val="102"/>
              <w:rPr>
                <w:rFonts w:cs="Arial"/>
                <w:szCs w:val="18"/>
              </w:rPr>
            </w:pPr>
            <w:r>
              <w:rPr>
                <w:rFonts w:cs="Arial"/>
                <w:szCs w:val="18"/>
              </w:rPr>
              <w:t>Acceptable maximum requested bandwidth.</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AccessNetChargingIdentifier</w:t>
            </w:r>
          </w:p>
        </w:tc>
        <w:tc>
          <w:tcPr>
            <w:tcW w:w="1578" w:type="dxa"/>
            <w:noWrap w:val="0"/>
            <w:vAlign w:val="top"/>
          </w:tcPr>
          <w:p>
            <w:pPr>
              <w:pStyle w:val="102"/>
            </w:pPr>
            <w:r>
              <w:t>5.6.2.32</w:t>
            </w:r>
          </w:p>
        </w:tc>
        <w:tc>
          <w:tcPr>
            <w:tcW w:w="4052" w:type="dxa"/>
            <w:noWrap w:val="0"/>
            <w:vAlign w:val="top"/>
          </w:tcPr>
          <w:p>
            <w:pPr>
              <w:pStyle w:val="102"/>
              <w:rPr>
                <w:rFonts w:cs="Arial"/>
                <w:szCs w:val="18"/>
              </w:rPr>
            </w:pPr>
            <w:r>
              <w:rPr>
                <w:lang w:eastAsia="zh-CN"/>
              </w:rPr>
              <w:t xml:space="preserve">Contains the </w:t>
            </w:r>
            <w:r>
              <w:t>access network charging identifier.</w:t>
            </w:r>
          </w:p>
        </w:tc>
        <w:tc>
          <w:tcPr>
            <w:tcW w:w="1750" w:type="dxa"/>
            <w:noWrap w:val="0"/>
            <w:vAlign w:val="top"/>
          </w:tcPr>
          <w:p>
            <w:pPr>
              <w:pStyle w:val="102"/>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AddFlowDescriptionInfo</w:t>
            </w:r>
          </w:p>
        </w:tc>
        <w:tc>
          <w:tcPr>
            <w:tcW w:w="1578" w:type="dxa"/>
            <w:noWrap w:val="0"/>
            <w:vAlign w:val="top"/>
          </w:tcPr>
          <w:p>
            <w:pPr>
              <w:pStyle w:val="102"/>
            </w:pPr>
            <w:r>
              <w:t>5.6.2.55</w:t>
            </w:r>
          </w:p>
        </w:tc>
        <w:tc>
          <w:tcPr>
            <w:tcW w:w="4052" w:type="dxa"/>
            <w:noWrap w:val="0"/>
            <w:vAlign w:val="top"/>
          </w:tcPr>
          <w:p>
            <w:pPr>
              <w:pStyle w:val="102"/>
              <w:rPr>
                <w:lang w:eastAsia="zh-CN"/>
              </w:rPr>
            </w:pPr>
            <w:r>
              <w:rPr>
                <w:lang w:eastAsia="zh-CN"/>
              </w:rPr>
              <w:t>Contains additional flow description information, as the flow label and the IPsec SPI.</w:t>
            </w:r>
          </w:p>
        </w:tc>
        <w:tc>
          <w:tcPr>
            <w:tcW w:w="1750" w:type="dxa"/>
            <w:noWrap w:val="0"/>
            <w:vAlign w:val="top"/>
          </w:tcPr>
          <w:p>
            <w:pPr>
              <w:pStyle w:val="102"/>
              <w:rPr>
                <w:rFonts w:cs="Arial"/>
                <w:szCs w:val="18"/>
              </w:rPr>
            </w:pPr>
            <w:r>
              <w:rPr>
                <w:rFonts w:cs="Arial"/>
                <w:szCs w:val="18"/>
              </w:rPr>
              <w:t>AddFlowDescriptionInformation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AfAppId</w:t>
            </w:r>
          </w:p>
        </w:tc>
        <w:tc>
          <w:tcPr>
            <w:tcW w:w="1578" w:type="dxa"/>
            <w:noWrap w:val="0"/>
            <w:vAlign w:val="top"/>
          </w:tcPr>
          <w:p>
            <w:pPr>
              <w:pStyle w:val="102"/>
            </w:pPr>
            <w:r>
              <w:t>5.6.3.2</w:t>
            </w:r>
          </w:p>
        </w:tc>
        <w:tc>
          <w:tcPr>
            <w:tcW w:w="4052" w:type="dxa"/>
            <w:noWrap w:val="0"/>
            <w:vAlign w:val="top"/>
          </w:tcPr>
          <w:p>
            <w:pPr>
              <w:pStyle w:val="102"/>
              <w:rPr>
                <w:lang w:eastAsia="zh-CN"/>
              </w:rPr>
            </w:pPr>
            <w:r>
              <w:t>Contains an AF application identifier.</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AfEvent</w:t>
            </w:r>
          </w:p>
        </w:tc>
        <w:tc>
          <w:tcPr>
            <w:tcW w:w="1578" w:type="dxa"/>
            <w:noWrap w:val="0"/>
            <w:vAlign w:val="top"/>
          </w:tcPr>
          <w:p>
            <w:pPr>
              <w:pStyle w:val="102"/>
            </w:pPr>
            <w:r>
              <w:t>5.6.3.7</w:t>
            </w:r>
          </w:p>
        </w:tc>
        <w:tc>
          <w:tcPr>
            <w:tcW w:w="4052" w:type="dxa"/>
            <w:noWrap w:val="0"/>
            <w:vAlign w:val="top"/>
          </w:tcPr>
          <w:p>
            <w:pPr>
              <w:pStyle w:val="102"/>
              <w:rPr>
                <w:rFonts w:cs="Arial"/>
                <w:szCs w:val="18"/>
              </w:rPr>
            </w:pPr>
            <w:r>
              <w:rPr>
                <w:rFonts w:cs="Arial"/>
                <w:szCs w:val="18"/>
              </w:rPr>
              <w:t xml:space="preserve">Represents an event to notify to the </w:t>
            </w:r>
            <w:r>
              <w:t>NF service consumer</w:t>
            </w:r>
            <w:r>
              <w:rPr>
                <w:rFonts w:cs="Arial"/>
                <w:szCs w:val="18"/>
              </w:rPr>
              <w:t>.</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AfEventNotification</w:t>
            </w:r>
          </w:p>
        </w:tc>
        <w:tc>
          <w:tcPr>
            <w:tcW w:w="1578" w:type="dxa"/>
            <w:noWrap w:val="0"/>
            <w:vAlign w:val="top"/>
          </w:tcPr>
          <w:p>
            <w:pPr>
              <w:pStyle w:val="102"/>
            </w:pPr>
            <w:r>
              <w:t>5.6.2.11</w:t>
            </w:r>
          </w:p>
        </w:tc>
        <w:tc>
          <w:tcPr>
            <w:tcW w:w="4052" w:type="dxa"/>
            <w:noWrap w:val="0"/>
            <w:vAlign w:val="top"/>
          </w:tcPr>
          <w:p>
            <w:pPr>
              <w:pStyle w:val="102"/>
              <w:rPr>
                <w:rFonts w:cs="Arial"/>
                <w:szCs w:val="18"/>
              </w:rPr>
            </w:pPr>
            <w:r>
              <w:rPr>
                <w:rFonts w:cs="Arial"/>
                <w:szCs w:val="18"/>
              </w:rPr>
              <w:t>Represents the notification of an event.</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AfEventSubscription</w:t>
            </w:r>
          </w:p>
        </w:tc>
        <w:tc>
          <w:tcPr>
            <w:tcW w:w="1578" w:type="dxa"/>
            <w:noWrap w:val="0"/>
            <w:vAlign w:val="top"/>
          </w:tcPr>
          <w:p>
            <w:pPr>
              <w:pStyle w:val="102"/>
            </w:pPr>
            <w:r>
              <w:t>5.6.2.10</w:t>
            </w:r>
          </w:p>
        </w:tc>
        <w:tc>
          <w:tcPr>
            <w:tcW w:w="4052" w:type="dxa"/>
            <w:noWrap w:val="0"/>
            <w:vAlign w:val="top"/>
          </w:tcPr>
          <w:p>
            <w:pPr>
              <w:pStyle w:val="102"/>
              <w:rPr>
                <w:rFonts w:cs="Arial"/>
                <w:szCs w:val="18"/>
              </w:rPr>
            </w:pPr>
            <w:r>
              <w:rPr>
                <w:rFonts w:cs="Arial"/>
                <w:szCs w:val="18"/>
              </w:rPr>
              <w:t>Represents the subscription to events.</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AfNotifMethod</w:t>
            </w:r>
          </w:p>
        </w:tc>
        <w:tc>
          <w:tcPr>
            <w:tcW w:w="1578" w:type="dxa"/>
            <w:noWrap w:val="0"/>
            <w:vAlign w:val="top"/>
          </w:tcPr>
          <w:p>
            <w:pPr>
              <w:pStyle w:val="102"/>
            </w:pPr>
            <w:r>
              <w:t>5.6.3.8</w:t>
            </w:r>
          </w:p>
        </w:tc>
        <w:tc>
          <w:tcPr>
            <w:tcW w:w="4052" w:type="dxa"/>
            <w:noWrap w:val="0"/>
            <w:vAlign w:val="top"/>
          </w:tcPr>
          <w:p>
            <w:pPr>
              <w:pStyle w:val="102"/>
              <w:rPr>
                <w:rFonts w:cs="Arial"/>
                <w:szCs w:val="18"/>
              </w:rPr>
            </w:pPr>
            <w:r>
              <w:rPr>
                <w:rFonts w:cs="Arial"/>
                <w:szCs w:val="18"/>
              </w:rPr>
              <w:t>Represents the notification methods that can be subscribed for an event.</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AfRequestedData</w:t>
            </w:r>
          </w:p>
        </w:tc>
        <w:tc>
          <w:tcPr>
            <w:tcW w:w="1578" w:type="dxa"/>
            <w:noWrap w:val="0"/>
            <w:vAlign w:val="top"/>
          </w:tcPr>
          <w:p>
            <w:pPr>
              <w:pStyle w:val="102"/>
            </w:pPr>
            <w:r>
              <w:t>5.6.3.18</w:t>
            </w:r>
          </w:p>
        </w:tc>
        <w:tc>
          <w:tcPr>
            <w:tcW w:w="4052" w:type="dxa"/>
            <w:noWrap w:val="0"/>
            <w:vAlign w:val="top"/>
          </w:tcPr>
          <w:p>
            <w:pPr>
              <w:pStyle w:val="102"/>
              <w:rPr>
                <w:rFonts w:cs="Arial"/>
                <w:szCs w:val="18"/>
              </w:rPr>
            </w:pPr>
            <w:r>
              <w:rPr>
                <w:rFonts w:cs="Arial"/>
                <w:szCs w:val="18"/>
              </w:rPr>
              <w:t xml:space="preserve">Represents the information the </w:t>
            </w:r>
            <w:r>
              <w:t>NF service consumer</w:t>
            </w:r>
            <w:r>
              <w:rPr>
                <w:rFonts w:cs="Arial"/>
                <w:szCs w:val="18"/>
              </w:rPr>
              <w:t xml:space="preserve"> requested to be exposed.</w:t>
            </w:r>
          </w:p>
        </w:tc>
        <w:tc>
          <w:tcPr>
            <w:tcW w:w="1750" w:type="dxa"/>
            <w:noWrap w:val="0"/>
            <w:vAlign w:val="top"/>
          </w:tcPr>
          <w:p>
            <w:pPr>
              <w:pStyle w:val="102"/>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AfRoutingRequirement</w:t>
            </w:r>
          </w:p>
        </w:tc>
        <w:tc>
          <w:tcPr>
            <w:tcW w:w="1578" w:type="dxa"/>
            <w:noWrap w:val="0"/>
            <w:vAlign w:val="top"/>
          </w:tcPr>
          <w:p>
            <w:pPr>
              <w:pStyle w:val="102"/>
            </w:pPr>
            <w:r>
              <w:t>5.6.2.13</w:t>
            </w:r>
          </w:p>
        </w:tc>
        <w:tc>
          <w:tcPr>
            <w:tcW w:w="4052" w:type="dxa"/>
            <w:noWrap w:val="0"/>
            <w:vAlign w:val="top"/>
          </w:tcPr>
          <w:p>
            <w:pPr>
              <w:pStyle w:val="102"/>
              <w:rPr>
                <w:rFonts w:cs="Arial"/>
                <w:szCs w:val="18"/>
              </w:rPr>
            </w:pPr>
            <w:r>
              <w:rPr>
                <w:rFonts w:cs="Arial"/>
                <w:szCs w:val="18"/>
              </w:rPr>
              <w:t>Describes the routing requirements for the application traffic flows.</w:t>
            </w:r>
          </w:p>
        </w:tc>
        <w:tc>
          <w:tcPr>
            <w:tcW w:w="1750" w:type="dxa"/>
            <w:noWrap w:val="0"/>
            <w:vAlign w:val="top"/>
          </w:tcPr>
          <w:p>
            <w:pPr>
              <w:pStyle w:val="102"/>
              <w:rPr>
                <w:rFonts w:cs="Arial"/>
                <w:szCs w:val="18"/>
              </w:rPr>
            </w:pPr>
            <w:r>
              <w:rPr>
                <w:rFonts w:cs="Arial"/>
                <w:szCs w:val="18"/>
              </w:rPr>
              <w:t>InfluenceOnTrafficRouting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AfRoutingRequirementRm</w:t>
            </w:r>
          </w:p>
        </w:tc>
        <w:tc>
          <w:tcPr>
            <w:tcW w:w="1578" w:type="dxa"/>
            <w:noWrap w:val="0"/>
            <w:vAlign w:val="top"/>
          </w:tcPr>
          <w:p>
            <w:pPr>
              <w:pStyle w:val="102"/>
            </w:pPr>
            <w:r>
              <w:t>5.6.2.24</w:t>
            </w:r>
          </w:p>
        </w:tc>
        <w:tc>
          <w:tcPr>
            <w:tcW w:w="4052" w:type="dxa"/>
            <w:noWrap w:val="0"/>
            <w:vAlign w:val="top"/>
          </w:tcPr>
          <w:p>
            <w:pPr>
              <w:pStyle w:val="102"/>
              <w:rPr>
                <w:rFonts w:cs="Arial"/>
                <w:szCs w:val="18"/>
              </w:rPr>
            </w:pPr>
            <w:r>
              <w:t>This data type is defined in the same way as the "AfRoutingRequirement" data type, but with the OpenAPI "nullable: true" property.</w:t>
            </w:r>
          </w:p>
        </w:tc>
        <w:tc>
          <w:tcPr>
            <w:tcW w:w="1750" w:type="dxa"/>
            <w:noWrap w:val="0"/>
            <w:vAlign w:val="top"/>
          </w:tcPr>
          <w:p>
            <w:pPr>
              <w:pStyle w:val="102"/>
              <w:rPr>
                <w:rFonts w:cs="Arial"/>
                <w:szCs w:val="18"/>
              </w:rPr>
            </w:pPr>
            <w:r>
              <w:rPr>
                <w:rFonts w:cs="Arial"/>
                <w:szCs w:val="18"/>
              </w:rPr>
              <w:t>InfluenceOnTrafficRouting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AfSfcRequirement</w:t>
            </w:r>
          </w:p>
        </w:tc>
        <w:tc>
          <w:tcPr>
            <w:tcW w:w="1578" w:type="dxa"/>
            <w:noWrap w:val="0"/>
            <w:vAlign w:val="top"/>
          </w:tcPr>
          <w:p>
            <w:pPr>
              <w:pStyle w:val="102"/>
            </w:pPr>
            <w:r>
              <w:t>5.6.2.49</w:t>
            </w:r>
          </w:p>
        </w:tc>
        <w:tc>
          <w:tcPr>
            <w:tcW w:w="4052" w:type="dxa"/>
            <w:noWrap w:val="0"/>
            <w:vAlign w:val="top"/>
          </w:tcPr>
          <w:p>
            <w:pPr>
              <w:pStyle w:val="102"/>
            </w:pPr>
            <w:r>
              <w:rPr>
                <w:rFonts w:cs="Arial"/>
                <w:szCs w:val="18"/>
              </w:rPr>
              <w:t xml:space="preserve">Describes the requirements to steer the </w:t>
            </w:r>
            <w:r>
              <w:t>traffic to a pre-configured chain of service functions on N6-LAN.</w:t>
            </w:r>
          </w:p>
        </w:tc>
        <w:tc>
          <w:tcPr>
            <w:tcW w:w="1750" w:type="dxa"/>
            <w:noWrap w:val="0"/>
            <w:vAlign w:val="top"/>
          </w:tcPr>
          <w:p>
            <w:pPr>
              <w:pStyle w:val="102"/>
              <w:rPr>
                <w:rFonts w:cs="Arial"/>
                <w:szCs w:val="18"/>
              </w:rPr>
            </w:pPr>
            <w:r>
              <w:rPr>
                <w:rFonts w:cs="Arial"/>
                <w:szCs w:val="18"/>
              </w:rPr>
              <w:t>SFC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AlternativeServiceRequirementsData</w:t>
            </w:r>
          </w:p>
        </w:tc>
        <w:tc>
          <w:tcPr>
            <w:tcW w:w="1578" w:type="dxa"/>
            <w:noWrap w:val="0"/>
            <w:vAlign w:val="top"/>
          </w:tcPr>
          <w:p>
            <w:pPr>
              <w:pStyle w:val="102"/>
            </w:pPr>
            <w:r>
              <w:t>5.6.2.47</w:t>
            </w:r>
          </w:p>
        </w:tc>
        <w:tc>
          <w:tcPr>
            <w:tcW w:w="4052" w:type="dxa"/>
            <w:noWrap w:val="0"/>
            <w:vAlign w:val="top"/>
          </w:tcPr>
          <w:p>
            <w:pPr>
              <w:pStyle w:val="102"/>
            </w:pPr>
            <w:r>
              <w:t>Contains alternative QoS related parameter sets.</w:t>
            </w:r>
          </w:p>
        </w:tc>
        <w:tc>
          <w:tcPr>
            <w:tcW w:w="1750" w:type="dxa"/>
            <w:noWrap w:val="0"/>
            <w:vAlign w:val="top"/>
          </w:tcPr>
          <w:p>
            <w:pPr>
              <w:pStyle w:val="102"/>
              <w:rPr>
                <w:rFonts w:cs="Arial"/>
                <w:szCs w:val="18"/>
              </w:rPr>
            </w:pPr>
            <w:r>
              <w:rPr>
                <w:lang w:val="en-US"/>
              </w:rPr>
              <w:t>AltSerReqsWithIndQoS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AnGwAddress</w:t>
            </w:r>
          </w:p>
        </w:tc>
        <w:tc>
          <w:tcPr>
            <w:tcW w:w="1578" w:type="dxa"/>
            <w:noWrap w:val="0"/>
            <w:vAlign w:val="top"/>
          </w:tcPr>
          <w:p>
            <w:pPr>
              <w:pStyle w:val="102"/>
            </w:pPr>
            <w:r>
              <w:t>5.6.2.20</w:t>
            </w:r>
          </w:p>
        </w:tc>
        <w:tc>
          <w:tcPr>
            <w:tcW w:w="4052" w:type="dxa"/>
            <w:noWrap w:val="0"/>
            <w:vAlign w:val="top"/>
          </w:tcPr>
          <w:p>
            <w:pPr>
              <w:pStyle w:val="102"/>
              <w:rPr>
                <w:rFonts w:cs="Arial"/>
                <w:szCs w:val="18"/>
              </w:rPr>
            </w:pPr>
            <w:r>
              <w:rPr>
                <w:rFonts w:cs="Arial"/>
                <w:szCs w:val="18"/>
              </w:rPr>
              <w:t>Carries the control plane address of the access network gateway.</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AppDetectionReport</w:t>
            </w:r>
          </w:p>
        </w:tc>
        <w:tc>
          <w:tcPr>
            <w:tcW w:w="1578" w:type="dxa"/>
            <w:noWrap w:val="0"/>
            <w:vAlign w:val="top"/>
          </w:tcPr>
          <w:p>
            <w:pPr>
              <w:pStyle w:val="102"/>
            </w:pPr>
            <w:r>
              <w:t>5.6.2.44</w:t>
            </w:r>
          </w:p>
        </w:tc>
        <w:tc>
          <w:tcPr>
            <w:tcW w:w="4052" w:type="dxa"/>
            <w:noWrap w:val="0"/>
            <w:vAlign w:val="top"/>
          </w:tcPr>
          <w:p>
            <w:pPr>
              <w:pStyle w:val="102"/>
              <w:rPr>
                <w:rFonts w:cs="Arial"/>
                <w:szCs w:val="18"/>
              </w:rPr>
            </w:pPr>
            <w:r>
              <w:rPr>
                <w:rFonts w:cs="Arial"/>
                <w:szCs w:val="18"/>
              </w:rPr>
              <w:t>Indicates the start or stop of the detected application traffic and the detected AF application identifier.</w:t>
            </w:r>
          </w:p>
        </w:tc>
        <w:tc>
          <w:tcPr>
            <w:tcW w:w="1750" w:type="dxa"/>
            <w:noWrap w:val="0"/>
            <w:vAlign w:val="top"/>
          </w:tcPr>
          <w:p>
            <w:pPr>
              <w:pStyle w:val="102"/>
              <w:rPr>
                <w:rFonts w:cs="Arial"/>
                <w:szCs w:val="18"/>
              </w:rPr>
            </w:pPr>
            <w:r>
              <w:rPr>
                <w:rFonts w:cs="Arial"/>
                <w:szCs w:val="18"/>
              </w:rPr>
              <w:t>A</w:t>
            </w:r>
            <w:r>
              <w:rPr>
                <w:lang w:eastAsia="fr-FR"/>
              </w:rPr>
              <w:t>pplicationDetectionEvents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AppDetectionNotifType</w:t>
            </w:r>
          </w:p>
        </w:tc>
        <w:tc>
          <w:tcPr>
            <w:tcW w:w="1578" w:type="dxa"/>
            <w:noWrap w:val="0"/>
            <w:vAlign w:val="top"/>
          </w:tcPr>
          <w:p>
            <w:pPr>
              <w:pStyle w:val="102"/>
            </w:pPr>
            <w:r>
              <w:t>5.6.3.23</w:t>
            </w:r>
          </w:p>
        </w:tc>
        <w:tc>
          <w:tcPr>
            <w:tcW w:w="4052" w:type="dxa"/>
            <w:noWrap w:val="0"/>
            <w:vAlign w:val="top"/>
          </w:tcPr>
          <w:p>
            <w:pPr>
              <w:pStyle w:val="102"/>
              <w:rPr>
                <w:rFonts w:cs="Arial"/>
                <w:szCs w:val="18"/>
              </w:rPr>
            </w:pPr>
            <w:r>
              <w:t>Represents the types of reports bound to the notification of application detection information.</w:t>
            </w:r>
          </w:p>
        </w:tc>
        <w:tc>
          <w:tcPr>
            <w:tcW w:w="1750" w:type="dxa"/>
            <w:noWrap w:val="0"/>
            <w:vAlign w:val="top"/>
          </w:tcPr>
          <w:p>
            <w:pPr>
              <w:pStyle w:val="102"/>
              <w:rPr>
                <w:rFonts w:cs="Arial"/>
                <w:szCs w:val="18"/>
              </w:rPr>
            </w:pPr>
            <w:r>
              <w:rPr>
                <w:rFonts w:cs="Arial"/>
                <w:szCs w:val="18"/>
              </w:rPr>
              <w:t>A</w:t>
            </w:r>
            <w:r>
              <w:rPr>
                <w:lang w:eastAsia="fr-FR"/>
              </w:rPr>
              <w:t>pplicationDetectionEvents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AppSessionContext</w:t>
            </w:r>
          </w:p>
        </w:tc>
        <w:tc>
          <w:tcPr>
            <w:tcW w:w="1578" w:type="dxa"/>
            <w:noWrap w:val="0"/>
            <w:vAlign w:val="top"/>
          </w:tcPr>
          <w:p>
            <w:pPr>
              <w:pStyle w:val="102"/>
            </w:pPr>
            <w:r>
              <w:t>5.6.2.2</w:t>
            </w:r>
          </w:p>
        </w:tc>
        <w:tc>
          <w:tcPr>
            <w:tcW w:w="4052" w:type="dxa"/>
            <w:noWrap w:val="0"/>
            <w:vAlign w:val="top"/>
          </w:tcPr>
          <w:p>
            <w:pPr>
              <w:pStyle w:val="102"/>
              <w:rPr>
                <w:rFonts w:cs="Arial"/>
                <w:szCs w:val="18"/>
              </w:rPr>
            </w:pPr>
            <w:r>
              <w:rPr>
                <w:rFonts w:cs="Arial"/>
                <w:szCs w:val="18"/>
              </w:rPr>
              <w:t>Represents an Individual Application Session Context resource.</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AppSessionContextReqData</w:t>
            </w:r>
          </w:p>
        </w:tc>
        <w:tc>
          <w:tcPr>
            <w:tcW w:w="1578" w:type="dxa"/>
            <w:noWrap w:val="0"/>
            <w:vAlign w:val="top"/>
          </w:tcPr>
          <w:p>
            <w:pPr>
              <w:pStyle w:val="102"/>
            </w:pPr>
            <w:r>
              <w:t>5.6.2.3</w:t>
            </w:r>
          </w:p>
        </w:tc>
        <w:tc>
          <w:tcPr>
            <w:tcW w:w="4052" w:type="dxa"/>
            <w:noWrap w:val="0"/>
            <w:vAlign w:val="top"/>
          </w:tcPr>
          <w:p>
            <w:pPr>
              <w:pStyle w:val="102"/>
              <w:rPr>
                <w:rFonts w:cs="Arial"/>
                <w:szCs w:val="18"/>
              </w:rPr>
            </w:pPr>
            <w:r>
              <w:rPr>
                <w:rFonts w:cs="Arial"/>
                <w:szCs w:val="18"/>
              </w:rPr>
              <w:t>Represents the Individual Application Session Context resource data received in an HTTP POST request message.</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AppSessionContextRespData</w:t>
            </w:r>
          </w:p>
        </w:tc>
        <w:tc>
          <w:tcPr>
            <w:tcW w:w="1578" w:type="dxa"/>
            <w:noWrap w:val="0"/>
            <w:vAlign w:val="top"/>
          </w:tcPr>
          <w:p>
            <w:pPr>
              <w:pStyle w:val="102"/>
            </w:pPr>
            <w:r>
              <w:t>5.6.2.4</w:t>
            </w:r>
          </w:p>
        </w:tc>
        <w:tc>
          <w:tcPr>
            <w:tcW w:w="4052" w:type="dxa"/>
            <w:noWrap w:val="0"/>
            <w:vAlign w:val="top"/>
          </w:tcPr>
          <w:p>
            <w:pPr>
              <w:pStyle w:val="102"/>
              <w:rPr>
                <w:rFonts w:cs="Arial"/>
                <w:szCs w:val="18"/>
              </w:rPr>
            </w:pPr>
            <w:r>
              <w:rPr>
                <w:rFonts w:cs="Arial"/>
                <w:szCs w:val="18"/>
              </w:rPr>
              <w:t>Represents the Individual Application Session Context resource data produced by the server and returned in an HTTP response message.</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AppSessionContextUpdateData</w:t>
            </w:r>
          </w:p>
        </w:tc>
        <w:tc>
          <w:tcPr>
            <w:tcW w:w="1578" w:type="dxa"/>
            <w:noWrap w:val="0"/>
            <w:vAlign w:val="top"/>
          </w:tcPr>
          <w:p>
            <w:pPr>
              <w:pStyle w:val="102"/>
            </w:pPr>
            <w:r>
              <w:t>5.6.2.5</w:t>
            </w:r>
          </w:p>
        </w:tc>
        <w:tc>
          <w:tcPr>
            <w:tcW w:w="4052" w:type="dxa"/>
            <w:noWrap w:val="0"/>
            <w:vAlign w:val="top"/>
          </w:tcPr>
          <w:p>
            <w:pPr>
              <w:pStyle w:val="102"/>
              <w:rPr>
                <w:rFonts w:cs="Arial"/>
                <w:szCs w:val="18"/>
              </w:rPr>
            </w:pPr>
            <w:r>
              <w:rPr>
                <w:rFonts w:cs="Arial"/>
                <w:szCs w:val="18"/>
              </w:rPr>
              <w:t xml:space="preserve">Describes the modifications to the </w:t>
            </w:r>
            <w:r>
              <w:t xml:space="preserve">"ascReqData" property of </w:t>
            </w:r>
            <w:r>
              <w:rPr>
                <w:rFonts w:cs="Arial"/>
                <w:szCs w:val="18"/>
              </w:rPr>
              <w:t>an Individual Application Session Context resource.</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AppSessionContextUpdateDataPatch</w:t>
            </w:r>
          </w:p>
        </w:tc>
        <w:tc>
          <w:tcPr>
            <w:tcW w:w="1578" w:type="dxa"/>
            <w:noWrap w:val="0"/>
            <w:vAlign w:val="top"/>
          </w:tcPr>
          <w:p>
            <w:pPr>
              <w:pStyle w:val="102"/>
            </w:pPr>
            <w:r>
              <w:t>5.6.2.43</w:t>
            </w:r>
          </w:p>
        </w:tc>
        <w:tc>
          <w:tcPr>
            <w:tcW w:w="4052" w:type="dxa"/>
            <w:noWrap w:val="0"/>
            <w:vAlign w:val="top"/>
          </w:tcPr>
          <w:p>
            <w:pPr>
              <w:pStyle w:val="102"/>
              <w:rPr>
                <w:rFonts w:cs="Arial"/>
                <w:szCs w:val="18"/>
                <w:lang w:eastAsia="fr-FR"/>
              </w:rPr>
            </w:pPr>
            <w:r>
              <w:rPr>
                <w:rFonts w:cs="Arial"/>
                <w:szCs w:val="18"/>
                <w:lang w:eastAsia="fr-FR"/>
              </w:rPr>
              <w:t>Describes the modifications to an Individual Application Session Context resource</w:t>
            </w:r>
          </w:p>
        </w:tc>
        <w:tc>
          <w:tcPr>
            <w:tcW w:w="1750" w:type="dxa"/>
            <w:noWrap w:val="0"/>
            <w:vAlign w:val="top"/>
          </w:tcPr>
          <w:p>
            <w:pPr>
              <w:pStyle w:val="102"/>
              <w:rPr>
                <w:rFonts w:cs="Arial"/>
                <w:szCs w:val="18"/>
              </w:rPr>
            </w:pPr>
            <w:r>
              <w:rPr>
                <w:rFonts w:cs="Arial"/>
                <w:szCs w:val="18"/>
              </w:rPr>
              <w:t>PatchCorrection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AspId</w:t>
            </w:r>
          </w:p>
        </w:tc>
        <w:tc>
          <w:tcPr>
            <w:tcW w:w="1578" w:type="dxa"/>
            <w:noWrap w:val="0"/>
            <w:vAlign w:val="top"/>
          </w:tcPr>
          <w:p>
            <w:pPr>
              <w:pStyle w:val="102"/>
            </w:pPr>
            <w:r>
              <w:t>5.6.3.2</w:t>
            </w:r>
          </w:p>
        </w:tc>
        <w:tc>
          <w:tcPr>
            <w:tcW w:w="4052" w:type="dxa"/>
            <w:noWrap w:val="0"/>
            <w:vAlign w:val="top"/>
          </w:tcPr>
          <w:p>
            <w:pPr>
              <w:pStyle w:val="102"/>
              <w:rPr>
                <w:rFonts w:cs="Arial"/>
                <w:szCs w:val="18"/>
              </w:rPr>
            </w:pPr>
            <w:r>
              <w:t>Contains an identity of an application service provider.</w:t>
            </w:r>
          </w:p>
        </w:tc>
        <w:tc>
          <w:tcPr>
            <w:tcW w:w="1750" w:type="dxa"/>
            <w:noWrap w:val="0"/>
            <w:vAlign w:val="top"/>
          </w:tcPr>
          <w:p>
            <w:pPr>
              <w:pStyle w:val="102"/>
              <w:rPr>
                <w:rFonts w:cs="Arial"/>
                <w:szCs w:val="18"/>
              </w:rPr>
            </w:pPr>
            <w:r>
              <w:t>SponsoredConnectivity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B</w:t>
            </w:r>
            <w:r>
              <w:rPr>
                <w:rFonts w:hint="eastAsia"/>
              </w:rPr>
              <w:t>at</w:t>
            </w:r>
            <w:r>
              <w:t>OffsetInfo</w:t>
            </w:r>
          </w:p>
        </w:tc>
        <w:tc>
          <w:tcPr>
            <w:tcW w:w="1578" w:type="dxa"/>
            <w:noWrap w:val="0"/>
            <w:vAlign w:val="top"/>
          </w:tcPr>
          <w:p>
            <w:pPr>
              <w:pStyle w:val="102"/>
            </w:pPr>
            <w:r>
              <w:t>5.6.2.50</w:t>
            </w:r>
          </w:p>
        </w:tc>
        <w:tc>
          <w:tcPr>
            <w:tcW w:w="4052" w:type="dxa"/>
            <w:noWrap w:val="0"/>
            <w:vAlign w:val="top"/>
          </w:tcPr>
          <w:p>
            <w:pPr>
              <w:pStyle w:val="102"/>
            </w:pPr>
            <w:r>
              <w:t>Contains the offset of the BAT and the optionally adjusted periodicity.</w:t>
            </w:r>
          </w:p>
        </w:tc>
        <w:tc>
          <w:tcPr>
            <w:tcW w:w="1750" w:type="dxa"/>
            <w:noWrap w:val="0"/>
            <w:vAlign w:val="top"/>
          </w:tcPr>
          <w:p>
            <w:pPr>
              <w:pStyle w:val="102"/>
            </w:pPr>
            <w:r>
              <w:t>EnTSCAC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CodecData</w:t>
            </w:r>
          </w:p>
        </w:tc>
        <w:tc>
          <w:tcPr>
            <w:tcW w:w="1578" w:type="dxa"/>
            <w:noWrap w:val="0"/>
            <w:vAlign w:val="top"/>
          </w:tcPr>
          <w:p>
            <w:pPr>
              <w:pStyle w:val="102"/>
            </w:pPr>
            <w:r>
              <w:t>5.6.3.2</w:t>
            </w:r>
          </w:p>
        </w:tc>
        <w:tc>
          <w:tcPr>
            <w:tcW w:w="4052" w:type="dxa"/>
            <w:noWrap w:val="0"/>
            <w:vAlign w:val="top"/>
          </w:tcPr>
          <w:p>
            <w:pPr>
              <w:pStyle w:val="102"/>
              <w:rPr>
                <w:rFonts w:cs="Arial"/>
                <w:szCs w:val="18"/>
              </w:rPr>
            </w:pPr>
            <w:r>
              <w:t>Contains a codec related information.</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ContentVersion</w:t>
            </w:r>
          </w:p>
        </w:tc>
        <w:tc>
          <w:tcPr>
            <w:tcW w:w="1578" w:type="dxa"/>
            <w:noWrap w:val="0"/>
            <w:vAlign w:val="top"/>
          </w:tcPr>
          <w:p>
            <w:pPr>
              <w:pStyle w:val="102"/>
            </w:pPr>
            <w:r>
              <w:t>5.6.3.2</w:t>
            </w:r>
          </w:p>
        </w:tc>
        <w:tc>
          <w:tcPr>
            <w:tcW w:w="4052" w:type="dxa"/>
            <w:noWrap w:val="0"/>
            <w:vAlign w:val="top"/>
          </w:tcPr>
          <w:p>
            <w:pPr>
              <w:pStyle w:val="102"/>
              <w:rPr>
                <w:rFonts w:cs="Arial"/>
                <w:szCs w:val="18"/>
              </w:rPr>
            </w:pPr>
            <w:r>
              <w:rPr>
                <w:rFonts w:cs="Arial"/>
                <w:szCs w:val="18"/>
              </w:rPr>
              <w:t>Represents the version of a media component.</w:t>
            </w:r>
          </w:p>
        </w:tc>
        <w:tc>
          <w:tcPr>
            <w:tcW w:w="1750" w:type="dxa"/>
            <w:noWrap w:val="0"/>
            <w:vAlign w:val="top"/>
          </w:tcPr>
          <w:p>
            <w:pPr>
              <w:pStyle w:val="102"/>
              <w:rPr>
                <w:rFonts w:cs="Arial"/>
                <w:szCs w:val="18"/>
              </w:rPr>
            </w:pPr>
            <w:r>
              <w:rPr>
                <w:rFonts w:cs="Arial"/>
                <w:szCs w:val="18"/>
              </w:rPr>
              <w:t>MediaComponentVersioning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DirectNotificationReport</w:t>
            </w:r>
          </w:p>
        </w:tc>
        <w:tc>
          <w:tcPr>
            <w:tcW w:w="1578" w:type="dxa"/>
            <w:noWrap w:val="0"/>
            <w:vAlign w:val="top"/>
          </w:tcPr>
          <w:p>
            <w:pPr>
              <w:pStyle w:val="102"/>
            </w:pPr>
            <w:r>
              <w:t>5.6.2.57</w:t>
            </w:r>
          </w:p>
        </w:tc>
        <w:tc>
          <w:tcPr>
            <w:tcW w:w="4052" w:type="dxa"/>
            <w:noWrap w:val="0"/>
            <w:vAlign w:val="top"/>
          </w:tcPr>
          <w:p>
            <w:pPr>
              <w:pStyle w:val="102"/>
              <w:rPr>
                <w:rFonts w:cs="Arial"/>
                <w:szCs w:val="18"/>
              </w:rPr>
            </w:pPr>
            <w:r>
              <w:rPr>
                <w:rFonts w:cs="Arial"/>
                <w:szCs w:val="18"/>
              </w:rPr>
              <w:t>Represents the QoS monitoring parameter that is not authorized to be directly notified for the indicated flows.</w:t>
            </w:r>
          </w:p>
        </w:tc>
        <w:tc>
          <w:tcPr>
            <w:tcW w:w="1750" w:type="dxa"/>
            <w:noWrap w:val="0"/>
            <w:vAlign w:val="top"/>
          </w:tcPr>
          <w:p>
            <w:pPr>
              <w:pStyle w:val="102"/>
              <w:rPr>
                <w:rFonts w:cs="Arial"/>
                <w:szCs w:val="18"/>
              </w:rPr>
            </w:pPr>
            <w:r>
              <w:rPr>
                <w:rFonts w:cs="Arial"/>
                <w:szCs w:val="18"/>
              </w:rPr>
              <w:t>EnQoSMon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EthFlowDescription</w:t>
            </w:r>
          </w:p>
        </w:tc>
        <w:tc>
          <w:tcPr>
            <w:tcW w:w="1578" w:type="dxa"/>
            <w:noWrap w:val="0"/>
            <w:vAlign w:val="top"/>
          </w:tcPr>
          <w:p>
            <w:pPr>
              <w:pStyle w:val="102"/>
            </w:pPr>
            <w:r>
              <w:t>5.6.2.17</w:t>
            </w:r>
          </w:p>
        </w:tc>
        <w:tc>
          <w:tcPr>
            <w:tcW w:w="4052" w:type="dxa"/>
            <w:noWrap w:val="0"/>
            <w:vAlign w:val="top"/>
          </w:tcPr>
          <w:p>
            <w:pPr>
              <w:pStyle w:val="102"/>
              <w:rPr>
                <w:rFonts w:cs="Arial"/>
                <w:szCs w:val="18"/>
              </w:rPr>
            </w:pPr>
            <w:r>
              <w:rPr>
                <w:rFonts w:cs="Arial"/>
                <w:szCs w:val="18"/>
              </w:rPr>
              <w:t>Defines a packet filter for an Ethernet flow.</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EventsNotification</w:t>
            </w:r>
          </w:p>
        </w:tc>
        <w:tc>
          <w:tcPr>
            <w:tcW w:w="1578" w:type="dxa"/>
            <w:noWrap w:val="0"/>
            <w:vAlign w:val="top"/>
          </w:tcPr>
          <w:p>
            <w:pPr>
              <w:pStyle w:val="102"/>
            </w:pPr>
            <w:r>
              <w:t>5.6.2.9</w:t>
            </w:r>
          </w:p>
        </w:tc>
        <w:tc>
          <w:tcPr>
            <w:tcW w:w="4052" w:type="dxa"/>
            <w:noWrap w:val="0"/>
            <w:vAlign w:val="top"/>
          </w:tcPr>
          <w:p>
            <w:pPr>
              <w:pStyle w:val="102"/>
              <w:rPr>
                <w:rFonts w:cs="Arial"/>
                <w:szCs w:val="18"/>
              </w:rPr>
            </w:pPr>
            <w:r>
              <w:rPr>
                <w:rFonts w:cs="Arial"/>
                <w:szCs w:val="18"/>
              </w:rPr>
              <w:t>Describes the notification about the events occurred within an Individual Application Session Context resource.</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EventsSubscPutData</w:t>
            </w:r>
          </w:p>
        </w:tc>
        <w:tc>
          <w:tcPr>
            <w:tcW w:w="1578" w:type="dxa"/>
            <w:noWrap w:val="0"/>
            <w:vAlign w:val="top"/>
          </w:tcPr>
          <w:p>
            <w:pPr>
              <w:pStyle w:val="102"/>
            </w:pPr>
            <w:r>
              <w:t>5.6.2.42</w:t>
            </w:r>
          </w:p>
        </w:tc>
        <w:tc>
          <w:tcPr>
            <w:tcW w:w="4052" w:type="dxa"/>
            <w:noWrap w:val="0"/>
            <w:vAlign w:val="top"/>
          </w:tcPr>
          <w:p>
            <w:pPr>
              <w:pStyle w:val="102"/>
              <w:rPr>
                <w:rFonts w:cs="Arial"/>
                <w:szCs w:val="18"/>
              </w:rPr>
            </w:pPr>
            <w:bookmarkStart w:id="9" w:name="_Hlk29892632"/>
            <w:r>
              <w:rPr>
                <w:rFonts w:cs="Arial"/>
                <w:szCs w:val="18"/>
              </w:rPr>
              <w:t>Identifies the events the application subscribes to within an Events Subscription sub-resource data</w:t>
            </w:r>
            <w:bookmarkEnd w:id="9"/>
            <w:r>
              <w:rPr>
                <w:rFonts w:cs="Arial"/>
                <w:szCs w:val="18"/>
              </w:rPr>
              <w:t xml:space="preserve">. It may also include the attributes of the notification about the events already met at the time of subscription. </w:t>
            </w:r>
          </w:p>
          <w:p>
            <w:pPr>
              <w:pStyle w:val="102"/>
              <w:rPr>
                <w:rFonts w:cs="Arial"/>
                <w:szCs w:val="18"/>
              </w:rPr>
            </w:pPr>
            <w:r>
              <w:rPr>
                <w:rFonts w:cs="Arial"/>
                <w:szCs w:val="18"/>
              </w:rPr>
              <w:t>It is represented as a non-exclusive list of two data types: EventsSubscReqData and EventsNotification.</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EventsSubscReqData</w:t>
            </w:r>
          </w:p>
        </w:tc>
        <w:tc>
          <w:tcPr>
            <w:tcW w:w="1578" w:type="dxa"/>
            <w:noWrap w:val="0"/>
            <w:vAlign w:val="top"/>
          </w:tcPr>
          <w:p>
            <w:pPr>
              <w:pStyle w:val="102"/>
            </w:pPr>
            <w:r>
              <w:t>5.6.2.6</w:t>
            </w:r>
          </w:p>
        </w:tc>
        <w:tc>
          <w:tcPr>
            <w:tcW w:w="4052" w:type="dxa"/>
            <w:noWrap w:val="0"/>
            <w:vAlign w:val="top"/>
          </w:tcPr>
          <w:p>
            <w:pPr>
              <w:pStyle w:val="102"/>
              <w:rPr>
                <w:rFonts w:cs="Arial"/>
                <w:szCs w:val="18"/>
              </w:rPr>
            </w:pPr>
            <w:r>
              <w:rPr>
                <w:rFonts w:cs="Arial"/>
                <w:szCs w:val="18"/>
              </w:rPr>
              <w:t>Identifies the events the application subscribes to within an Individual Application Session Context resource.</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EventsSubscReqDataRm</w:t>
            </w:r>
          </w:p>
        </w:tc>
        <w:tc>
          <w:tcPr>
            <w:tcW w:w="1578" w:type="dxa"/>
            <w:noWrap w:val="0"/>
            <w:vAlign w:val="top"/>
          </w:tcPr>
          <w:p>
            <w:pPr>
              <w:pStyle w:val="102"/>
            </w:pPr>
            <w:r>
              <w:t>5.6.2. 25</w:t>
            </w:r>
          </w:p>
        </w:tc>
        <w:tc>
          <w:tcPr>
            <w:tcW w:w="4052" w:type="dxa"/>
            <w:noWrap w:val="0"/>
            <w:vAlign w:val="top"/>
          </w:tcPr>
          <w:p>
            <w:pPr>
              <w:pStyle w:val="102"/>
              <w:rPr>
                <w:rFonts w:cs="Arial"/>
                <w:szCs w:val="18"/>
              </w:rPr>
            </w:pPr>
            <w:r>
              <w:t>This data type is defined in the same way as the "EventsSubscReqData" data type, but with the OpenAPI "nullable: true" property.</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ExtendedProblemDetails</w:t>
            </w:r>
          </w:p>
        </w:tc>
        <w:tc>
          <w:tcPr>
            <w:tcW w:w="1578" w:type="dxa"/>
            <w:noWrap w:val="0"/>
            <w:vAlign w:val="top"/>
          </w:tcPr>
          <w:p>
            <w:pPr>
              <w:pStyle w:val="102"/>
            </w:pPr>
            <w:r>
              <w:t>5.6.2.29</w:t>
            </w:r>
          </w:p>
        </w:tc>
        <w:tc>
          <w:tcPr>
            <w:tcW w:w="4052" w:type="dxa"/>
            <w:noWrap w:val="0"/>
            <w:vAlign w:val="top"/>
          </w:tcPr>
          <w:p>
            <w:pPr>
              <w:pStyle w:val="102"/>
              <w:rPr>
                <w:rFonts w:cs="Arial"/>
                <w:szCs w:val="18"/>
              </w:rPr>
            </w:pPr>
            <w:r>
              <w:rPr>
                <w:rFonts w:cs="Arial"/>
                <w:szCs w:val="18"/>
              </w:rPr>
              <w:t>Data type that extends ProblemDetails.</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FlowDescription</w:t>
            </w:r>
          </w:p>
        </w:tc>
        <w:tc>
          <w:tcPr>
            <w:tcW w:w="1578" w:type="dxa"/>
            <w:noWrap w:val="0"/>
            <w:vAlign w:val="top"/>
          </w:tcPr>
          <w:p>
            <w:pPr>
              <w:pStyle w:val="102"/>
            </w:pPr>
            <w:r>
              <w:t>5.6.3.2</w:t>
            </w:r>
          </w:p>
        </w:tc>
        <w:tc>
          <w:tcPr>
            <w:tcW w:w="4052" w:type="dxa"/>
            <w:noWrap w:val="0"/>
            <w:vAlign w:val="top"/>
          </w:tcPr>
          <w:p>
            <w:pPr>
              <w:pStyle w:val="102"/>
              <w:rPr>
                <w:rFonts w:cs="Arial"/>
                <w:szCs w:val="18"/>
              </w:rPr>
            </w:pPr>
            <w:r>
              <w:rPr>
                <w:rFonts w:cs="Arial"/>
                <w:szCs w:val="18"/>
              </w:rPr>
              <w:t>Defines a packet filter for an IP flow.</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Flows</w:t>
            </w:r>
          </w:p>
        </w:tc>
        <w:tc>
          <w:tcPr>
            <w:tcW w:w="1578" w:type="dxa"/>
            <w:noWrap w:val="0"/>
            <w:vAlign w:val="top"/>
          </w:tcPr>
          <w:p>
            <w:pPr>
              <w:pStyle w:val="102"/>
            </w:pPr>
            <w:r>
              <w:t>5.6.2.21</w:t>
            </w:r>
          </w:p>
        </w:tc>
        <w:tc>
          <w:tcPr>
            <w:tcW w:w="4052" w:type="dxa"/>
            <w:noWrap w:val="0"/>
            <w:vAlign w:val="top"/>
          </w:tcPr>
          <w:p>
            <w:pPr>
              <w:pStyle w:val="102"/>
              <w:rPr>
                <w:rFonts w:cs="Arial"/>
                <w:szCs w:val="18"/>
              </w:rPr>
            </w:pPr>
            <w:r>
              <w:rPr>
                <w:rFonts w:cs="Arial"/>
                <w:szCs w:val="18"/>
              </w:rPr>
              <w:t>Identifies the flows related to a media component.</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rPr>
                <w:lang w:eastAsia="zh-CN"/>
              </w:rPr>
              <w:t>FlowStatus</w:t>
            </w:r>
          </w:p>
        </w:tc>
        <w:tc>
          <w:tcPr>
            <w:tcW w:w="1578" w:type="dxa"/>
            <w:noWrap w:val="0"/>
            <w:vAlign w:val="top"/>
          </w:tcPr>
          <w:p>
            <w:pPr>
              <w:pStyle w:val="102"/>
            </w:pPr>
            <w:r>
              <w:rPr>
                <w:lang w:eastAsia="zh-CN"/>
              </w:rPr>
              <w:t>5.6.3.12</w:t>
            </w:r>
          </w:p>
        </w:tc>
        <w:tc>
          <w:tcPr>
            <w:tcW w:w="4052" w:type="dxa"/>
            <w:noWrap w:val="0"/>
            <w:vAlign w:val="top"/>
          </w:tcPr>
          <w:p>
            <w:pPr>
              <w:pStyle w:val="102"/>
              <w:rPr>
                <w:rFonts w:cs="Arial"/>
                <w:szCs w:val="18"/>
              </w:rPr>
            </w:pPr>
            <w:r>
              <w:t>Describes whether the IP flow(s) are enabled or disabled.</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rPr>
                <w:lang w:eastAsia="zh-CN"/>
              </w:rPr>
            </w:pPr>
            <w:r>
              <w:t>FlowUsage</w:t>
            </w:r>
          </w:p>
        </w:tc>
        <w:tc>
          <w:tcPr>
            <w:tcW w:w="1578" w:type="dxa"/>
            <w:noWrap w:val="0"/>
            <w:vAlign w:val="top"/>
          </w:tcPr>
          <w:p>
            <w:pPr>
              <w:pStyle w:val="102"/>
              <w:rPr>
                <w:lang w:eastAsia="zh-CN"/>
              </w:rPr>
            </w:pPr>
            <w:r>
              <w:t>5.6.3.14</w:t>
            </w:r>
          </w:p>
        </w:tc>
        <w:tc>
          <w:tcPr>
            <w:tcW w:w="4052" w:type="dxa"/>
            <w:noWrap w:val="0"/>
            <w:vAlign w:val="top"/>
          </w:tcPr>
          <w:p>
            <w:pPr>
              <w:pStyle w:val="102"/>
            </w:pPr>
            <w:r>
              <w:rPr>
                <w:rFonts w:cs="Arial"/>
                <w:szCs w:val="18"/>
              </w:rPr>
              <w:t>Describes the flow usage of the flows described by a media subcomponent.</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L4sNotifType</w:t>
            </w:r>
          </w:p>
        </w:tc>
        <w:tc>
          <w:tcPr>
            <w:tcW w:w="1578" w:type="dxa"/>
            <w:noWrap w:val="0"/>
            <w:vAlign w:val="top"/>
          </w:tcPr>
          <w:p>
            <w:pPr>
              <w:pStyle w:val="102"/>
            </w:pPr>
            <w:r>
              <w:t>5.6.3.25</w:t>
            </w:r>
          </w:p>
        </w:tc>
        <w:tc>
          <w:tcPr>
            <w:tcW w:w="4052" w:type="dxa"/>
            <w:noWrap w:val="0"/>
            <w:vAlign w:val="top"/>
          </w:tcPr>
          <w:p>
            <w:pPr>
              <w:pStyle w:val="102"/>
              <w:rPr>
                <w:rFonts w:cs="Arial"/>
                <w:szCs w:val="18"/>
              </w:rPr>
            </w:pPr>
            <w:r>
              <w:t>Indicates whether the ECN marking for L4S support for the indicated SDFs is "NOT_AVAILABLE" or "AVAILABLE" again.</w:t>
            </w:r>
          </w:p>
        </w:tc>
        <w:tc>
          <w:tcPr>
            <w:tcW w:w="1750" w:type="dxa"/>
            <w:noWrap w:val="0"/>
            <w:vAlign w:val="top"/>
          </w:tcPr>
          <w:p>
            <w:pPr>
              <w:pStyle w:val="102"/>
              <w:rPr>
                <w:rFonts w:cs="Arial"/>
                <w:szCs w:val="18"/>
              </w:rPr>
            </w:pPr>
            <w:r>
              <w:rPr>
                <w:rFonts w:cs="Arial"/>
                <w:szCs w:val="18"/>
              </w:rPr>
              <w:t>L4S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L4sSupport</w:t>
            </w:r>
          </w:p>
        </w:tc>
        <w:tc>
          <w:tcPr>
            <w:tcW w:w="1578" w:type="dxa"/>
            <w:noWrap w:val="0"/>
            <w:vAlign w:val="top"/>
          </w:tcPr>
          <w:p>
            <w:pPr>
              <w:pStyle w:val="102"/>
            </w:pPr>
            <w:r>
              <w:t>5.6.2.56</w:t>
            </w:r>
          </w:p>
        </w:tc>
        <w:tc>
          <w:tcPr>
            <w:tcW w:w="4052" w:type="dxa"/>
            <w:noWrap w:val="0"/>
            <w:vAlign w:val="top"/>
          </w:tcPr>
          <w:p>
            <w:pPr>
              <w:pStyle w:val="102"/>
              <w:rPr>
                <w:rFonts w:cs="Arial"/>
                <w:szCs w:val="18"/>
              </w:rPr>
            </w:pPr>
            <w:r>
              <w:t xml:space="preserve">Indicates whether the ECN marking for L4S is available in 5GS for the indicated service data flows. </w:t>
            </w:r>
          </w:p>
        </w:tc>
        <w:tc>
          <w:tcPr>
            <w:tcW w:w="1750" w:type="dxa"/>
            <w:noWrap w:val="0"/>
            <w:vAlign w:val="top"/>
          </w:tcPr>
          <w:p>
            <w:pPr>
              <w:pStyle w:val="102"/>
              <w:rPr>
                <w:rFonts w:cs="Arial"/>
                <w:szCs w:val="18"/>
              </w:rPr>
            </w:pPr>
            <w:r>
              <w:rPr>
                <w:rFonts w:cs="Arial"/>
                <w:szCs w:val="18"/>
              </w:rPr>
              <w:t>L4S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MediaComponent</w:t>
            </w:r>
          </w:p>
        </w:tc>
        <w:tc>
          <w:tcPr>
            <w:tcW w:w="1578" w:type="dxa"/>
            <w:noWrap w:val="0"/>
            <w:vAlign w:val="top"/>
          </w:tcPr>
          <w:p>
            <w:pPr>
              <w:pStyle w:val="102"/>
            </w:pPr>
            <w:r>
              <w:t>5.6.2.7</w:t>
            </w:r>
          </w:p>
        </w:tc>
        <w:tc>
          <w:tcPr>
            <w:tcW w:w="4052" w:type="dxa"/>
            <w:noWrap w:val="0"/>
            <w:vAlign w:val="top"/>
          </w:tcPr>
          <w:p>
            <w:pPr>
              <w:pStyle w:val="102"/>
              <w:rPr>
                <w:rFonts w:cs="Arial"/>
                <w:szCs w:val="18"/>
              </w:rPr>
            </w:pPr>
            <w:r>
              <w:rPr>
                <w:rFonts w:cs="Arial"/>
                <w:szCs w:val="18"/>
              </w:rPr>
              <w:t>Contains service information for a media component of an AF session.</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MediaComponentRm</w:t>
            </w:r>
          </w:p>
        </w:tc>
        <w:tc>
          <w:tcPr>
            <w:tcW w:w="1578" w:type="dxa"/>
            <w:noWrap w:val="0"/>
            <w:vAlign w:val="top"/>
          </w:tcPr>
          <w:p>
            <w:pPr>
              <w:pStyle w:val="102"/>
            </w:pPr>
            <w:r>
              <w:t>5.6.2.26</w:t>
            </w:r>
          </w:p>
        </w:tc>
        <w:tc>
          <w:tcPr>
            <w:tcW w:w="4052" w:type="dxa"/>
            <w:noWrap w:val="0"/>
            <w:vAlign w:val="top"/>
          </w:tcPr>
          <w:p>
            <w:pPr>
              <w:pStyle w:val="102"/>
              <w:rPr>
                <w:rFonts w:cs="Arial"/>
                <w:szCs w:val="18"/>
              </w:rPr>
            </w:pPr>
            <w:r>
              <w:t>This data type is defined in the same way as the "MediaComponent" data type, but with the OpenAPI "nullable: true" property.</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MediaComponentResourcesStatus</w:t>
            </w:r>
          </w:p>
        </w:tc>
        <w:tc>
          <w:tcPr>
            <w:tcW w:w="1578" w:type="dxa"/>
            <w:noWrap w:val="0"/>
            <w:vAlign w:val="top"/>
          </w:tcPr>
          <w:p>
            <w:pPr>
              <w:pStyle w:val="102"/>
            </w:pPr>
            <w:r>
              <w:t>5.6.3.13</w:t>
            </w:r>
          </w:p>
        </w:tc>
        <w:tc>
          <w:tcPr>
            <w:tcW w:w="4052" w:type="dxa"/>
            <w:noWrap w:val="0"/>
            <w:vAlign w:val="top"/>
          </w:tcPr>
          <w:p>
            <w:pPr>
              <w:pStyle w:val="102"/>
              <w:rPr>
                <w:rFonts w:cs="Arial"/>
                <w:szCs w:val="18"/>
              </w:rPr>
            </w:pPr>
            <w:r>
              <w:rPr>
                <w:rFonts w:cs="Arial"/>
                <w:szCs w:val="18"/>
              </w:rPr>
              <w:t>Indicates whether the media component is active or inactive.</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MediaSubComponent</w:t>
            </w:r>
          </w:p>
        </w:tc>
        <w:tc>
          <w:tcPr>
            <w:tcW w:w="1578" w:type="dxa"/>
            <w:noWrap w:val="0"/>
            <w:vAlign w:val="top"/>
          </w:tcPr>
          <w:p>
            <w:pPr>
              <w:pStyle w:val="102"/>
            </w:pPr>
            <w:r>
              <w:t>5.6.2.8</w:t>
            </w:r>
          </w:p>
        </w:tc>
        <w:tc>
          <w:tcPr>
            <w:tcW w:w="4052" w:type="dxa"/>
            <w:noWrap w:val="0"/>
            <w:vAlign w:val="top"/>
          </w:tcPr>
          <w:p>
            <w:pPr>
              <w:pStyle w:val="102"/>
              <w:rPr>
                <w:rFonts w:cs="Arial"/>
                <w:szCs w:val="18"/>
              </w:rPr>
            </w:pPr>
            <w:r>
              <w:rPr>
                <w:rFonts w:cs="Arial"/>
                <w:szCs w:val="18"/>
              </w:rPr>
              <w:t>Contains the requested bitrate and filters for the set of IP flows identified by their common flow identifier.</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MediaSubComponentRm</w:t>
            </w:r>
          </w:p>
        </w:tc>
        <w:tc>
          <w:tcPr>
            <w:tcW w:w="1578" w:type="dxa"/>
            <w:noWrap w:val="0"/>
            <w:vAlign w:val="top"/>
          </w:tcPr>
          <w:p>
            <w:pPr>
              <w:pStyle w:val="102"/>
            </w:pPr>
            <w:r>
              <w:t>5.6.2.27</w:t>
            </w:r>
          </w:p>
        </w:tc>
        <w:tc>
          <w:tcPr>
            <w:tcW w:w="4052" w:type="dxa"/>
            <w:noWrap w:val="0"/>
            <w:vAlign w:val="top"/>
          </w:tcPr>
          <w:p>
            <w:pPr>
              <w:pStyle w:val="102"/>
              <w:rPr>
                <w:rFonts w:cs="Arial"/>
                <w:szCs w:val="18"/>
              </w:rPr>
            </w:pPr>
            <w:r>
              <w:t>This data type is defined in the same way as the "MediaSubComponent" data type, but with the OpenAPI "nullable: true" property.</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MediaType</w:t>
            </w:r>
          </w:p>
        </w:tc>
        <w:tc>
          <w:tcPr>
            <w:tcW w:w="1578" w:type="dxa"/>
            <w:noWrap w:val="0"/>
            <w:vAlign w:val="top"/>
          </w:tcPr>
          <w:p>
            <w:pPr>
              <w:pStyle w:val="102"/>
            </w:pPr>
            <w:r>
              <w:t>5.6.3.3</w:t>
            </w:r>
          </w:p>
        </w:tc>
        <w:tc>
          <w:tcPr>
            <w:tcW w:w="4052" w:type="dxa"/>
            <w:noWrap w:val="0"/>
            <w:vAlign w:val="top"/>
          </w:tcPr>
          <w:p>
            <w:pPr>
              <w:pStyle w:val="102"/>
            </w:pPr>
            <w:r>
              <w:t>Indicates the media type of a media component.</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MpsAction</w:t>
            </w:r>
          </w:p>
        </w:tc>
        <w:tc>
          <w:tcPr>
            <w:tcW w:w="1578" w:type="dxa"/>
            <w:noWrap w:val="0"/>
            <w:vAlign w:val="top"/>
          </w:tcPr>
          <w:p>
            <w:pPr>
              <w:pStyle w:val="102"/>
            </w:pPr>
            <w:r>
              <w:t>5.6.3.22</w:t>
            </w:r>
          </w:p>
        </w:tc>
        <w:tc>
          <w:tcPr>
            <w:tcW w:w="4052" w:type="dxa"/>
            <w:noWrap w:val="0"/>
            <w:vAlign w:val="top"/>
          </w:tcPr>
          <w:p>
            <w:pPr>
              <w:pStyle w:val="102"/>
            </w:pPr>
            <w:r>
              <w:t>Indicates whethe it is an invocation, a revocation or an invocation with authorization of the MPS for DTS service.</w:t>
            </w:r>
          </w:p>
        </w:tc>
        <w:tc>
          <w:tcPr>
            <w:tcW w:w="1750" w:type="dxa"/>
            <w:noWrap w:val="0"/>
            <w:vAlign w:val="top"/>
          </w:tcPr>
          <w:p>
            <w:pPr>
              <w:pStyle w:val="102"/>
              <w:rPr>
                <w:rFonts w:cs="Arial"/>
                <w:szCs w:val="18"/>
              </w:rPr>
            </w:pPr>
            <w:r>
              <w:rPr>
                <w:rFonts w:cs="Arial"/>
                <w:szCs w:val="18"/>
              </w:rPr>
              <w:t>MPSforDTS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rPr>
                <w:lang w:eastAsia="zh-CN"/>
              </w:rPr>
              <w:t>MultiModalId</w:t>
            </w:r>
          </w:p>
        </w:tc>
        <w:tc>
          <w:tcPr>
            <w:tcW w:w="1578" w:type="dxa"/>
            <w:noWrap w:val="0"/>
            <w:vAlign w:val="top"/>
          </w:tcPr>
          <w:p>
            <w:pPr>
              <w:pStyle w:val="102"/>
            </w:pPr>
            <w:r>
              <w:t>5.6.3.2</w:t>
            </w:r>
          </w:p>
        </w:tc>
        <w:tc>
          <w:tcPr>
            <w:tcW w:w="4052" w:type="dxa"/>
            <w:noWrap w:val="0"/>
            <w:vAlign w:val="top"/>
          </w:tcPr>
          <w:p>
            <w:pPr>
              <w:pStyle w:val="102"/>
            </w:pPr>
            <w:r>
              <w:t>Contains a multi-modal service identifier.</w:t>
            </w:r>
          </w:p>
        </w:tc>
        <w:tc>
          <w:tcPr>
            <w:tcW w:w="1750" w:type="dxa"/>
            <w:noWrap w:val="0"/>
            <w:vAlign w:val="top"/>
          </w:tcPr>
          <w:p>
            <w:pPr>
              <w:pStyle w:val="102"/>
              <w:rPr>
                <w:rFonts w:cs="Arial"/>
                <w:szCs w:val="18"/>
              </w:rPr>
            </w:pPr>
            <w:bookmarkStart w:id="10" w:name="OLE_LINK1"/>
            <w:r>
              <w:rPr>
                <w:rFonts w:cs="Arial"/>
                <w:szCs w:val="18"/>
              </w:rPr>
              <w:t>MultiMedia</w:t>
            </w:r>
            <w:bookmarkEnd w:id="10"/>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OutOfCreditInformation</w:t>
            </w:r>
          </w:p>
        </w:tc>
        <w:tc>
          <w:tcPr>
            <w:tcW w:w="1578" w:type="dxa"/>
            <w:noWrap w:val="0"/>
            <w:vAlign w:val="top"/>
          </w:tcPr>
          <w:p>
            <w:pPr>
              <w:pStyle w:val="102"/>
            </w:pPr>
            <w:r>
              <w:t>5.6.2.33</w:t>
            </w:r>
          </w:p>
        </w:tc>
        <w:tc>
          <w:tcPr>
            <w:tcW w:w="4052" w:type="dxa"/>
            <w:noWrap w:val="0"/>
            <w:vAlign w:val="top"/>
          </w:tcPr>
          <w:p>
            <w:pPr>
              <w:pStyle w:val="102"/>
            </w:pPr>
            <w:r>
              <w:rPr>
                <w:rFonts w:cs="Arial"/>
                <w:szCs w:val="18"/>
              </w:rPr>
              <w:t>Indicates the service data flows without available credit and the corresponding termination action.</w:t>
            </w:r>
          </w:p>
        </w:tc>
        <w:tc>
          <w:tcPr>
            <w:tcW w:w="1750" w:type="dxa"/>
            <w:noWrap w:val="0"/>
            <w:vAlign w:val="top"/>
          </w:tcPr>
          <w:p>
            <w:pPr>
              <w:pStyle w:val="102"/>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rPr>
                <w:lang w:eastAsia="fr-FR"/>
              </w:rPr>
              <w:t>PcfAddressingInfo</w:t>
            </w:r>
          </w:p>
        </w:tc>
        <w:tc>
          <w:tcPr>
            <w:tcW w:w="1578" w:type="dxa"/>
            <w:noWrap w:val="0"/>
            <w:vAlign w:val="top"/>
          </w:tcPr>
          <w:p>
            <w:pPr>
              <w:pStyle w:val="102"/>
            </w:pPr>
            <w:r>
              <w:rPr>
                <w:lang w:eastAsia="fr-FR"/>
              </w:rPr>
              <w:t>5.6.2.46</w:t>
            </w:r>
          </w:p>
        </w:tc>
        <w:tc>
          <w:tcPr>
            <w:tcW w:w="4052" w:type="dxa"/>
            <w:noWrap w:val="0"/>
            <w:vAlign w:val="top"/>
          </w:tcPr>
          <w:p>
            <w:pPr>
              <w:pStyle w:val="102"/>
              <w:rPr>
                <w:rFonts w:cs="Arial"/>
                <w:szCs w:val="18"/>
              </w:rPr>
            </w:pPr>
            <w:r>
              <w:rPr>
                <w:rFonts w:cs="Arial"/>
                <w:szCs w:val="18"/>
                <w:lang w:eastAsia="fr-FR"/>
              </w:rPr>
              <w:t>Contains PCF address information.</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PcscfRestorationRequestData</w:t>
            </w:r>
          </w:p>
        </w:tc>
        <w:tc>
          <w:tcPr>
            <w:tcW w:w="1578" w:type="dxa"/>
            <w:noWrap w:val="0"/>
            <w:vAlign w:val="top"/>
          </w:tcPr>
          <w:p>
            <w:pPr>
              <w:pStyle w:val="102"/>
            </w:pPr>
            <w:r>
              <w:t>5.6.2.36</w:t>
            </w:r>
          </w:p>
        </w:tc>
        <w:tc>
          <w:tcPr>
            <w:tcW w:w="4052" w:type="dxa"/>
            <w:noWrap w:val="0"/>
            <w:vAlign w:val="top"/>
          </w:tcPr>
          <w:p>
            <w:pPr>
              <w:pStyle w:val="102"/>
              <w:rPr>
                <w:rFonts w:cs="Arial"/>
                <w:szCs w:val="18"/>
              </w:rPr>
            </w:pPr>
            <w:r>
              <w:rPr>
                <w:rFonts w:cs="Arial"/>
                <w:szCs w:val="18"/>
              </w:rPr>
              <w:t>Indicates P-CSCF restoration.</w:t>
            </w:r>
          </w:p>
        </w:tc>
        <w:tc>
          <w:tcPr>
            <w:tcW w:w="1750" w:type="dxa"/>
            <w:noWrap w:val="0"/>
            <w:vAlign w:val="top"/>
          </w:tcPr>
          <w:p>
            <w:pPr>
              <w:pStyle w:val="102"/>
              <w:rPr>
                <w:rFonts w:cs="Arial"/>
                <w:szCs w:val="18"/>
              </w:rPr>
            </w:pPr>
            <w:r>
              <w:t>PCSCF-Restoration-Enhancement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rPr>
                <w:lang w:eastAsia="fr-FR"/>
              </w:rPr>
              <w:t>PduSessionEventNotification</w:t>
            </w:r>
          </w:p>
        </w:tc>
        <w:tc>
          <w:tcPr>
            <w:tcW w:w="1578" w:type="dxa"/>
            <w:noWrap w:val="0"/>
            <w:vAlign w:val="top"/>
          </w:tcPr>
          <w:p>
            <w:pPr>
              <w:pStyle w:val="102"/>
            </w:pPr>
            <w:r>
              <w:rPr>
                <w:lang w:eastAsia="fr-FR"/>
              </w:rPr>
              <w:t>5.6.2.45</w:t>
            </w:r>
          </w:p>
        </w:tc>
        <w:tc>
          <w:tcPr>
            <w:tcW w:w="4052" w:type="dxa"/>
            <w:noWrap w:val="0"/>
            <w:vAlign w:val="top"/>
          </w:tcPr>
          <w:p>
            <w:pPr>
              <w:pStyle w:val="102"/>
              <w:rPr>
                <w:rFonts w:cs="Arial"/>
                <w:szCs w:val="18"/>
              </w:rPr>
            </w:pPr>
            <w:r>
              <w:rPr>
                <w:lang w:eastAsia="fr-FR"/>
              </w:rPr>
              <w:t>Indicates PDU session information for the established/terminated PDU session.</w:t>
            </w:r>
          </w:p>
        </w:tc>
        <w:tc>
          <w:tcPr>
            <w:tcW w:w="1750" w:type="dxa"/>
            <w:noWrap w:val="0"/>
            <w:vAlign w:val="top"/>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rPr>
                <w:lang w:eastAsia="fr-FR"/>
              </w:rPr>
              <w:t>PduSessionStatus</w:t>
            </w:r>
          </w:p>
        </w:tc>
        <w:tc>
          <w:tcPr>
            <w:tcW w:w="1578" w:type="dxa"/>
            <w:noWrap w:val="0"/>
            <w:vAlign w:val="top"/>
          </w:tcPr>
          <w:p>
            <w:pPr>
              <w:pStyle w:val="102"/>
            </w:pPr>
            <w:r>
              <w:rPr>
                <w:lang w:eastAsia="fr-FR"/>
              </w:rPr>
              <w:t>5.6.3.24</w:t>
            </w:r>
          </w:p>
        </w:tc>
        <w:tc>
          <w:tcPr>
            <w:tcW w:w="4052" w:type="dxa"/>
            <w:noWrap w:val="0"/>
            <w:vAlign w:val="top"/>
          </w:tcPr>
          <w:p>
            <w:pPr>
              <w:pStyle w:val="102"/>
              <w:rPr>
                <w:rFonts w:cs="Arial"/>
                <w:szCs w:val="18"/>
              </w:rPr>
            </w:pPr>
            <w:r>
              <w:rPr>
                <w:lang w:eastAsia="fr-FR"/>
              </w:rPr>
              <w:t>Indicates whether the PDU session is established or terminated.</w:t>
            </w:r>
          </w:p>
        </w:tc>
        <w:tc>
          <w:tcPr>
            <w:tcW w:w="1750" w:type="dxa"/>
            <w:noWrap w:val="0"/>
            <w:vAlign w:val="top"/>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PduSessionTsnBridge</w:t>
            </w:r>
          </w:p>
        </w:tc>
        <w:tc>
          <w:tcPr>
            <w:tcW w:w="1578" w:type="dxa"/>
            <w:noWrap w:val="0"/>
            <w:vAlign w:val="top"/>
          </w:tcPr>
          <w:p>
            <w:pPr>
              <w:pStyle w:val="102"/>
            </w:pPr>
            <w:r>
              <w:t>5.6.2.40</w:t>
            </w:r>
          </w:p>
        </w:tc>
        <w:tc>
          <w:tcPr>
            <w:tcW w:w="4052" w:type="dxa"/>
            <w:noWrap w:val="0"/>
            <w:vAlign w:val="top"/>
          </w:tcPr>
          <w:p>
            <w:pPr>
              <w:pStyle w:val="102"/>
              <w:rPr>
                <w:rFonts w:cs="Arial"/>
                <w:szCs w:val="18"/>
              </w:rPr>
            </w:pPr>
            <w:r>
              <w:t>Contains the TSC user plane node Information and DS-TT port and/or NW-TT ports management information of a new detected TSC user plane node in the context of a new PDU session.</w:t>
            </w:r>
          </w:p>
        </w:tc>
        <w:tc>
          <w:tcPr>
            <w:tcW w:w="1750" w:type="dxa"/>
            <w:noWrap w:val="0"/>
            <w:vAlign w:val="top"/>
          </w:tcPr>
          <w:p>
            <w:pPr>
              <w:pStyle w:val="102"/>
              <w:rPr>
                <w:rFonts w:cs="Arial"/>
                <w:szCs w:val="18"/>
              </w:rPr>
            </w:pPr>
            <w:r>
              <w:rPr>
                <w:rFonts w:cs="Arial"/>
                <w:szCs w:val="18"/>
              </w:rPr>
              <w:t>TimeSensitiveNetworking</w:t>
            </w:r>
          </w:p>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P</w:t>
            </w:r>
            <w:r>
              <w:rPr>
                <w:lang w:eastAsia="zh-CN"/>
              </w:rPr>
              <w:t>dvMonitoringReport</w:t>
            </w:r>
          </w:p>
        </w:tc>
        <w:tc>
          <w:tcPr>
            <w:tcW w:w="1578" w:type="dxa"/>
            <w:noWrap w:val="0"/>
            <w:vAlign w:val="top"/>
          </w:tcPr>
          <w:p>
            <w:pPr>
              <w:pStyle w:val="102"/>
            </w:pPr>
            <w:r>
              <w:rPr>
                <w:rFonts w:hint="eastAsia"/>
                <w:lang w:eastAsia="zh-CN"/>
              </w:rPr>
              <w:t>5</w:t>
            </w:r>
            <w:r>
              <w:rPr>
                <w:lang w:eastAsia="zh-CN"/>
              </w:rPr>
              <w:t>.6.2.53</w:t>
            </w:r>
          </w:p>
        </w:tc>
        <w:tc>
          <w:tcPr>
            <w:tcW w:w="4052" w:type="dxa"/>
            <w:noWrap w:val="0"/>
            <w:vAlign w:val="top"/>
          </w:tcPr>
          <w:p>
            <w:pPr>
              <w:pStyle w:val="102"/>
            </w:pPr>
            <w:r>
              <w:rPr>
                <w:lang w:eastAsia="zh-CN"/>
              </w:rPr>
              <w:t>Packet Delay Variation reporting information.</w:t>
            </w:r>
          </w:p>
        </w:tc>
        <w:tc>
          <w:tcPr>
            <w:tcW w:w="1750" w:type="dxa"/>
            <w:noWrap w:val="0"/>
            <w:vAlign w:val="top"/>
          </w:tcPr>
          <w:p>
            <w:pPr>
              <w:pStyle w:val="102"/>
              <w:rPr>
                <w:rFonts w:cs="Arial"/>
                <w:szCs w:val="18"/>
              </w:rPr>
            </w:pPr>
            <w:r>
              <w:rPr>
                <w:rFonts w:hint="eastAsia"/>
              </w:rPr>
              <w:t>EnQoSMon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Periodicity</w:t>
            </w:r>
            <w:r>
              <w:rPr>
                <w:lang w:eastAsia="zh-CN"/>
              </w:rPr>
              <w:t>R</w:t>
            </w:r>
            <w:r>
              <w:rPr>
                <w:rFonts w:hint="eastAsia"/>
                <w:lang w:eastAsia="zh-CN"/>
              </w:rPr>
              <w:t>ange</w:t>
            </w:r>
          </w:p>
        </w:tc>
        <w:tc>
          <w:tcPr>
            <w:tcW w:w="1578" w:type="dxa"/>
            <w:noWrap w:val="0"/>
            <w:vAlign w:val="top"/>
          </w:tcPr>
          <w:p>
            <w:pPr>
              <w:pStyle w:val="102"/>
            </w:pPr>
            <w:r>
              <w:t>5.6.2.48</w:t>
            </w:r>
          </w:p>
        </w:tc>
        <w:tc>
          <w:tcPr>
            <w:tcW w:w="4052" w:type="dxa"/>
            <w:noWrap w:val="0"/>
            <w:vAlign w:val="top"/>
          </w:tcPr>
          <w:p>
            <w:pPr>
              <w:pStyle w:val="102"/>
            </w:pPr>
            <w:r>
              <w:t xml:space="preserve">Contains </w:t>
            </w:r>
            <w:r>
              <w:rPr>
                <w:lang w:eastAsia="zh-CN"/>
              </w:rPr>
              <w:t xml:space="preserve">the acceptable range (which is formulated as lower bound and upper bound of the periodicity of the start two bursts </w:t>
            </w:r>
            <w:r>
              <w:rPr>
                <w:rFonts w:cs="Arial"/>
                <w:szCs w:val="18"/>
              </w:rPr>
              <w:t>in reference to the external GM) or acceptable periodicity value(s) (</w:t>
            </w:r>
            <w:r>
              <w:rPr>
                <w:rFonts w:hint="eastAsia"/>
                <w:lang w:eastAsia="zh-CN"/>
              </w:rPr>
              <w:t xml:space="preserve">which is formulated as a list of values for the </w:t>
            </w:r>
            <w:r>
              <w:rPr>
                <w:lang w:eastAsia="zh-CN"/>
              </w:rPr>
              <w:t>p</w:t>
            </w:r>
            <w:r>
              <w:rPr>
                <w:rFonts w:hint="eastAsia"/>
                <w:lang w:eastAsia="zh-CN"/>
              </w:rPr>
              <w:t>eriodicity)</w:t>
            </w:r>
            <w:r>
              <w:t>.</w:t>
            </w:r>
          </w:p>
        </w:tc>
        <w:tc>
          <w:tcPr>
            <w:tcW w:w="1750" w:type="dxa"/>
            <w:noWrap w:val="0"/>
            <w:vAlign w:val="top"/>
          </w:tcPr>
          <w:p>
            <w:pPr>
              <w:pStyle w:val="102"/>
              <w:rPr>
                <w:rFonts w:cs="Arial"/>
                <w:szCs w:val="18"/>
              </w:rPr>
            </w:pPr>
            <w:r>
              <w:t>EnTSCAC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PreemptionControlInformation</w:t>
            </w:r>
          </w:p>
        </w:tc>
        <w:tc>
          <w:tcPr>
            <w:tcW w:w="1578" w:type="dxa"/>
            <w:noWrap w:val="0"/>
            <w:vAlign w:val="top"/>
          </w:tcPr>
          <w:p>
            <w:pPr>
              <w:pStyle w:val="102"/>
            </w:pPr>
            <w:r>
              <w:t>5.6.3.19</w:t>
            </w:r>
          </w:p>
        </w:tc>
        <w:tc>
          <w:tcPr>
            <w:tcW w:w="4052" w:type="dxa"/>
            <w:noWrap w:val="0"/>
            <w:vAlign w:val="top"/>
          </w:tcPr>
          <w:p>
            <w:pPr>
              <w:pStyle w:val="102"/>
              <w:rPr>
                <w:rFonts w:cs="Arial"/>
                <w:szCs w:val="18"/>
              </w:rPr>
            </w:pPr>
            <w:r>
              <w:t>Pre-emption control information.</w:t>
            </w:r>
          </w:p>
        </w:tc>
        <w:tc>
          <w:tcPr>
            <w:tcW w:w="1750" w:type="dxa"/>
            <w:noWrap w:val="0"/>
            <w:vAlign w:val="top"/>
          </w:tcPr>
          <w:p>
            <w:pPr>
              <w:pStyle w:val="102"/>
              <w:rPr>
                <w:rFonts w:cs="Arial"/>
                <w:szCs w:val="18"/>
              </w:rPr>
            </w:pPr>
            <w:r>
              <w:rPr>
                <w:rFonts w:cs="Arial"/>
                <w:szCs w:val="18"/>
              </w:rPr>
              <w:t>MCPTT-Preemption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PreemptionControlInformationRm</w:t>
            </w:r>
          </w:p>
        </w:tc>
        <w:tc>
          <w:tcPr>
            <w:tcW w:w="1578" w:type="dxa"/>
            <w:noWrap w:val="0"/>
            <w:vAlign w:val="top"/>
          </w:tcPr>
          <w:p>
            <w:pPr>
              <w:pStyle w:val="102"/>
            </w:pPr>
            <w:r>
              <w:t>5.6.3.21</w:t>
            </w:r>
          </w:p>
        </w:tc>
        <w:tc>
          <w:tcPr>
            <w:tcW w:w="4052" w:type="dxa"/>
            <w:noWrap w:val="0"/>
            <w:vAlign w:val="top"/>
          </w:tcPr>
          <w:p>
            <w:pPr>
              <w:pStyle w:val="102"/>
              <w:rPr>
                <w:rFonts w:cs="Arial"/>
                <w:szCs w:val="18"/>
              </w:rPr>
            </w:pPr>
            <w:r>
              <w:t>This data type is defined in the same way as the "PreemptionControlInformation" data type, but with the OpenAPI "nullable: true" property.</w:t>
            </w:r>
          </w:p>
        </w:tc>
        <w:tc>
          <w:tcPr>
            <w:tcW w:w="1750" w:type="dxa"/>
            <w:noWrap w:val="0"/>
            <w:vAlign w:val="top"/>
          </w:tcPr>
          <w:p>
            <w:pPr>
              <w:pStyle w:val="102"/>
              <w:rPr>
                <w:rFonts w:cs="Arial"/>
                <w:szCs w:val="18"/>
              </w:rPr>
            </w:pPr>
            <w:r>
              <w:rPr>
                <w:rFonts w:cs="Arial"/>
                <w:szCs w:val="18"/>
              </w:rPr>
              <w:t>MCPTT-Preemption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PrioritySharingIndicator</w:t>
            </w:r>
          </w:p>
        </w:tc>
        <w:tc>
          <w:tcPr>
            <w:tcW w:w="1578" w:type="dxa"/>
            <w:noWrap w:val="0"/>
            <w:vAlign w:val="top"/>
          </w:tcPr>
          <w:p>
            <w:pPr>
              <w:pStyle w:val="102"/>
            </w:pPr>
            <w:r>
              <w:t>5.6.3.20</w:t>
            </w:r>
          </w:p>
        </w:tc>
        <w:tc>
          <w:tcPr>
            <w:tcW w:w="4052" w:type="dxa"/>
            <w:noWrap w:val="0"/>
            <w:vAlign w:val="top"/>
          </w:tcPr>
          <w:p>
            <w:pPr>
              <w:pStyle w:val="102"/>
              <w:rPr>
                <w:rFonts w:cs="Arial"/>
                <w:szCs w:val="18"/>
              </w:rPr>
            </w:pPr>
            <w:r>
              <w:t>Priority sharing indicator.</w:t>
            </w:r>
          </w:p>
        </w:tc>
        <w:tc>
          <w:tcPr>
            <w:tcW w:w="1750" w:type="dxa"/>
            <w:noWrap w:val="0"/>
            <w:vAlign w:val="top"/>
          </w:tcPr>
          <w:p>
            <w:pPr>
              <w:pStyle w:val="102"/>
              <w:rPr>
                <w:rFonts w:cs="Arial"/>
                <w:szCs w:val="18"/>
              </w:rPr>
            </w:pPr>
            <w:r>
              <w:rPr>
                <w:rFonts w:cs="Arial"/>
                <w:szCs w:val="18"/>
              </w:rPr>
              <w:t>PrioritySharing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QosMonitoringInformation</w:t>
            </w:r>
          </w:p>
        </w:tc>
        <w:tc>
          <w:tcPr>
            <w:tcW w:w="1578" w:type="dxa"/>
            <w:noWrap w:val="0"/>
            <w:vAlign w:val="top"/>
          </w:tcPr>
          <w:p>
            <w:pPr>
              <w:pStyle w:val="102"/>
            </w:pPr>
            <w:r>
              <w:t>5.6.2.34</w:t>
            </w:r>
          </w:p>
        </w:tc>
        <w:tc>
          <w:tcPr>
            <w:tcW w:w="4052" w:type="dxa"/>
            <w:noWrap w:val="0"/>
            <w:vAlign w:val="top"/>
          </w:tcPr>
          <w:p>
            <w:pPr>
              <w:pStyle w:val="102"/>
            </w:pPr>
            <w:r>
              <w:t>QoS monitoring information (e.g. UL, DL or round trip packet delay).</w:t>
            </w:r>
          </w:p>
        </w:tc>
        <w:tc>
          <w:tcPr>
            <w:tcW w:w="1750" w:type="dxa"/>
            <w:noWrap w:val="0"/>
            <w:vAlign w:val="top"/>
          </w:tcPr>
          <w:p>
            <w:pPr>
              <w:pStyle w:val="102"/>
              <w:rPr>
                <w:rFonts w:cs="Arial"/>
                <w:szCs w:val="18"/>
              </w:rPr>
            </w:pPr>
            <w:r>
              <w:rPr>
                <w:rFonts w:cs="Arial"/>
                <w:szCs w:val="18"/>
              </w:rPr>
              <w:t>QoSMonitoring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QosMonitoringInformationRm</w:t>
            </w:r>
          </w:p>
        </w:tc>
        <w:tc>
          <w:tcPr>
            <w:tcW w:w="1578" w:type="dxa"/>
            <w:noWrap w:val="0"/>
            <w:vAlign w:val="top"/>
          </w:tcPr>
          <w:p>
            <w:pPr>
              <w:pStyle w:val="102"/>
            </w:pPr>
            <w:r>
              <w:t>5.6.2.41</w:t>
            </w:r>
          </w:p>
        </w:tc>
        <w:tc>
          <w:tcPr>
            <w:tcW w:w="4052" w:type="dxa"/>
            <w:noWrap w:val="0"/>
            <w:vAlign w:val="top"/>
          </w:tcPr>
          <w:p>
            <w:pPr>
              <w:pStyle w:val="102"/>
            </w:pPr>
            <w:r>
              <w:t>This data type is defined in the same way as the "QosMonitoringInformation" data type, but with the OpenAPI "nullable: true" property.</w:t>
            </w:r>
          </w:p>
        </w:tc>
        <w:tc>
          <w:tcPr>
            <w:tcW w:w="1750" w:type="dxa"/>
            <w:noWrap w:val="0"/>
            <w:vAlign w:val="top"/>
          </w:tcPr>
          <w:p>
            <w:pPr>
              <w:pStyle w:val="102"/>
              <w:rPr>
                <w:rFonts w:cs="Arial"/>
                <w:szCs w:val="18"/>
              </w:rPr>
            </w:pPr>
            <w:r>
              <w:rPr>
                <w:rFonts w:cs="Arial"/>
                <w:szCs w:val="18"/>
              </w:rPr>
              <w:t>QoSMonitoring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QosMonitoringReport</w:t>
            </w:r>
          </w:p>
        </w:tc>
        <w:tc>
          <w:tcPr>
            <w:tcW w:w="1578" w:type="dxa"/>
            <w:noWrap w:val="0"/>
            <w:vAlign w:val="top"/>
          </w:tcPr>
          <w:p>
            <w:pPr>
              <w:pStyle w:val="102"/>
            </w:pPr>
            <w:r>
              <w:t>5.6.2.37</w:t>
            </w:r>
          </w:p>
        </w:tc>
        <w:tc>
          <w:tcPr>
            <w:tcW w:w="4052" w:type="dxa"/>
            <w:noWrap w:val="0"/>
            <w:vAlign w:val="top"/>
          </w:tcPr>
          <w:p>
            <w:pPr>
              <w:pStyle w:val="102"/>
            </w:pPr>
            <w:r>
              <w:t>Contains QoS monitoring reporting information.</w:t>
            </w:r>
          </w:p>
        </w:tc>
        <w:tc>
          <w:tcPr>
            <w:tcW w:w="1750" w:type="dxa"/>
            <w:noWrap w:val="0"/>
            <w:vAlign w:val="top"/>
          </w:tcPr>
          <w:p>
            <w:pPr>
              <w:pStyle w:val="102"/>
              <w:rPr>
                <w:rFonts w:cs="Arial"/>
                <w:szCs w:val="18"/>
              </w:rPr>
            </w:pPr>
            <w:r>
              <w:t>QoSMonitoring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QosNotificationControlInfo</w:t>
            </w:r>
          </w:p>
        </w:tc>
        <w:tc>
          <w:tcPr>
            <w:tcW w:w="1578" w:type="dxa"/>
            <w:noWrap w:val="0"/>
            <w:vAlign w:val="top"/>
          </w:tcPr>
          <w:p>
            <w:pPr>
              <w:pStyle w:val="102"/>
            </w:pPr>
            <w:r>
              <w:t>5.6.2.15</w:t>
            </w:r>
          </w:p>
        </w:tc>
        <w:tc>
          <w:tcPr>
            <w:tcW w:w="4052" w:type="dxa"/>
            <w:noWrap w:val="0"/>
            <w:vAlign w:val="top"/>
          </w:tcPr>
          <w:p>
            <w:pPr>
              <w:pStyle w:val="102"/>
              <w:rPr>
                <w:rFonts w:cs="Arial"/>
                <w:szCs w:val="18"/>
              </w:rPr>
            </w:pPr>
            <w:r>
              <w:rPr>
                <w:rFonts w:cs="Arial"/>
                <w:szCs w:val="18"/>
              </w:rPr>
              <w:t>Indicates whether the QoS targets related to certain media component are not guaranteed or are guaranteed again.</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QosNotifType</w:t>
            </w:r>
          </w:p>
        </w:tc>
        <w:tc>
          <w:tcPr>
            <w:tcW w:w="1578" w:type="dxa"/>
            <w:noWrap w:val="0"/>
            <w:vAlign w:val="top"/>
          </w:tcPr>
          <w:p>
            <w:pPr>
              <w:pStyle w:val="102"/>
            </w:pPr>
            <w:r>
              <w:t>5.6.3.9</w:t>
            </w:r>
          </w:p>
        </w:tc>
        <w:tc>
          <w:tcPr>
            <w:tcW w:w="4052" w:type="dxa"/>
            <w:noWrap w:val="0"/>
            <w:vAlign w:val="top"/>
          </w:tcPr>
          <w:p>
            <w:pPr>
              <w:pStyle w:val="102"/>
              <w:rPr>
                <w:rFonts w:cs="Arial"/>
                <w:szCs w:val="18"/>
              </w:rPr>
            </w:pPr>
            <w:r>
              <w:rPr>
                <w:rFonts w:cs="Arial"/>
                <w:szCs w:val="18"/>
              </w:rPr>
              <w:t>Indicates type of notification for QoS Notification Control.</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RequiredAccessInfo</w:t>
            </w:r>
          </w:p>
        </w:tc>
        <w:tc>
          <w:tcPr>
            <w:tcW w:w="1578" w:type="dxa"/>
            <w:noWrap w:val="0"/>
            <w:vAlign w:val="top"/>
          </w:tcPr>
          <w:p>
            <w:pPr>
              <w:pStyle w:val="102"/>
            </w:pPr>
            <w:r>
              <w:t>5.6.3.15</w:t>
            </w:r>
          </w:p>
        </w:tc>
        <w:tc>
          <w:tcPr>
            <w:tcW w:w="4052" w:type="dxa"/>
            <w:noWrap w:val="0"/>
            <w:vAlign w:val="top"/>
          </w:tcPr>
          <w:p>
            <w:pPr>
              <w:pStyle w:val="102"/>
              <w:rPr>
                <w:rFonts w:cs="Arial"/>
                <w:szCs w:val="18"/>
              </w:rPr>
            </w:pPr>
            <w:r>
              <w:rPr>
                <w:rFonts w:cs="Arial"/>
                <w:szCs w:val="18"/>
              </w:rPr>
              <w:t>Indicates the access network information required for an AF session.</w:t>
            </w:r>
          </w:p>
        </w:tc>
        <w:tc>
          <w:tcPr>
            <w:tcW w:w="1750" w:type="dxa"/>
            <w:noWrap w:val="0"/>
            <w:vAlign w:val="top"/>
          </w:tcPr>
          <w:p>
            <w:pPr>
              <w:pStyle w:val="102"/>
              <w:rPr>
                <w:rFonts w:cs="Arial"/>
                <w:szCs w:val="18"/>
              </w:rPr>
            </w:pPr>
            <w:r>
              <w:rPr>
                <w:rFonts w:cs="Arial"/>
                <w:szCs w:val="18"/>
              </w:rPr>
              <w:t>NetLoc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ReservPriority</w:t>
            </w:r>
          </w:p>
        </w:tc>
        <w:tc>
          <w:tcPr>
            <w:tcW w:w="1578" w:type="dxa"/>
            <w:noWrap w:val="0"/>
            <w:vAlign w:val="top"/>
          </w:tcPr>
          <w:p>
            <w:pPr>
              <w:pStyle w:val="102"/>
            </w:pPr>
            <w:r>
              <w:t>5.6.3.4</w:t>
            </w:r>
          </w:p>
        </w:tc>
        <w:tc>
          <w:tcPr>
            <w:tcW w:w="4052" w:type="dxa"/>
            <w:noWrap w:val="0"/>
            <w:vAlign w:val="top"/>
          </w:tcPr>
          <w:p>
            <w:pPr>
              <w:pStyle w:val="102"/>
              <w:rPr>
                <w:rFonts w:cs="Arial"/>
                <w:szCs w:val="18"/>
              </w:rPr>
            </w:pPr>
            <w:r>
              <w:t>Indicates the reservation priority.</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ResourcesAllocationInfo</w:t>
            </w:r>
          </w:p>
        </w:tc>
        <w:tc>
          <w:tcPr>
            <w:tcW w:w="1578" w:type="dxa"/>
            <w:noWrap w:val="0"/>
            <w:vAlign w:val="top"/>
          </w:tcPr>
          <w:p>
            <w:pPr>
              <w:pStyle w:val="102"/>
            </w:pPr>
            <w:r>
              <w:t>5.6.2.14</w:t>
            </w:r>
          </w:p>
        </w:tc>
        <w:tc>
          <w:tcPr>
            <w:tcW w:w="4052" w:type="dxa"/>
            <w:noWrap w:val="0"/>
            <w:vAlign w:val="top"/>
          </w:tcPr>
          <w:p>
            <w:pPr>
              <w:pStyle w:val="102"/>
              <w:rPr>
                <w:rFonts w:cs="Arial"/>
                <w:szCs w:val="18"/>
              </w:rPr>
            </w:pPr>
            <w:r>
              <w:rPr>
                <w:rFonts w:cs="Arial"/>
                <w:szCs w:val="18"/>
              </w:rPr>
              <w:t>Indicates the status of the PCC rule(s) related to certain media component.</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ServAuthInfo</w:t>
            </w:r>
          </w:p>
        </w:tc>
        <w:tc>
          <w:tcPr>
            <w:tcW w:w="1578" w:type="dxa"/>
            <w:noWrap w:val="0"/>
            <w:vAlign w:val="top"/>
          </w:tcPr>
          <w:p>
            <w:pPr>
              <w:pStyle w:val="102"/>
            </w:pPr>
            <w:r>
              <w:t>5.6.3.5</w:t>
            </w:r>
          </w:p>
        </w:tc>
        <w:tc>
          <w:tcPr>
            <w:tcW w:w="4052" w:type="dxa"/>
            <w:noWrap w:val="0"/>
            <w:vAlign w:val="top"/>
          </w:tcPr>
          <w:p>
            <w:pPr>
              <w:pStyle w:val="102"/>
              <w:rPr>
                <w:rFonts w:cs="Arial"/>
                <w:szCs w:val="18"/>
              </w:rPr>
            </w:pPr>
            <w:r>
              <w:t>Indicates the result of the Policy Authorization service request from the NF service consumer.</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ServiceInfoStatus</w:t>
            </w:r>
          </w:p>
        </w:tc>
        <w:tc>
          <w:tcPr>
            <w:tcW w:w="1578" w:type="dxa"/>
            <w:noWrap w:val="0"/>
            <w:vAlign w:val="top"/>
          </w:tcPr>
          <w:p>
            <w:pPr>
              <w:pStyle w:val="102"/>
            </w:pPr>
            <w:r>
              <w:t>5.6.3.16</w:t>
            </w:r>
          </w:p>
        </w:tc>
        <w:tc>
          <w:tcPr>
            <w:tcW w:w="4052" w:type="dxa"/>
            <w:noWrap w:val="0"/>
            <w:vAlign w:val="top"/>
          </w:tcPr>
          <w:p>
            <w:pPr>
              <w:pStyle w:val="102"/>
            </w:pPr>
            <w:r>
              <w:t>Preliminary or final service information status.</w:t>
            </w:r>
          </w:p>
        </w:tc>
        <w:tc>
          <w:tcPr>
            <w:tcW w:w="1750" w:type="dxa"/>
            <w:noWrap w:val="0"/>
            <w:vAlign w:val="top"/>
          </w:tcPr>
          <w:p>
            <w:pPr>
              <w:pStyle w:val="102"/>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ServiceUrn</w:t>
            </w:r>
          </w:p>
        </w:tc>
        <w:tc>
          <w:tcPr>
            <w:tcW w:w="1578" w:type="dxa"/>
            <w:noWrap w:val="0"/>
            <w:vAlign w:val="top"/>
          </w:tcPr>
          <w:p>
            <w:pPr>
              <w:pStyle w:val="102"/>
            </w:pPr>
            <w:r>
              <w:t>5.6.3.2</w:t>
            </w:r>
          </w:p>
        </w:tc>
        <w:tc>
          <w:tcPr>
            <w:tcW w:w="4052" w:type="dxa"/>
            <w:noWrap w:val="0"/>
            <w:vAlign w:val="top"/>
          </w:tcPr>
          <w:p>
            <w:pPr>
              <w:pStyle w:val="102"/>
            </w:pPr>
            <w:r>
              <w:t>Service URN.</w:t>
            </w:r>
          </w:p>
        </w:tc>
        <w:tc>
          <w:tcPr>
            <w:tcW w:w="1750" w:type="dxa"/>
            <w:noWrap w:val="0"/>
            <w:vAlign w:val="top"/>
          </w:tcPr>
          <w:p>
            <w:pPr>
              <w:pStyle w:val="102"/>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SipForkingIndication</w:t>
            </w:r>
          </w:p>
        </w:tc>
        <w:tc>
          <w:tcPr>
            <w:tcW w:w="1578" w:type="dxa"/>
            <w:noWrap w:val="0"/>
            <w:vAlign w:val="top"/>
          </w:tcPr>
          <w:p>
            <w:pPr>
              <w:pStyle w:val="102"/>
            </w:pPr>
            <w:r>
              <w:t>5.6.3.17</w:t>
            </w:r>
          </w:p>
        </w:tc>
        <w:tc>
          <w:tcPr>
            <w:tcW w:w="4052" w:type="dxa"/>
            <w:noWrap w:val="0"/>
            <w:vAlign w:val="top"/>
          </w:tcPr>
          <w:p>
            <w:pPr>
              <w:pStyle w:val="102"/>
            </w:pPr>
            <w:r>
              <w:rPr>
                <w:rFonts w:eastAsia="Batang"/>
              </w:rPr>
              <w:t>Describes if several SIP dialogues are related to an "Individual Application Session Context" resource.</w:t>
            </w:r>
          </w:p>
        </w:tc>
        <w:tc>
          <w:tcPr>
            <w:tcW w:w="1750" w:type="dxa"/>
            <w:noWrap w:val="0"/>
            <w:vAlign w:val="top"/>
          </w:tcPr>
          <w:p>
            <w:pPr>
              <w:pStyle w:val="102"/>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SpatialValidity</w:t>
            </w:r>
          </w:p>
        </w:tc>
        <w:tc>
          <w:tcPr>
            <w:tcW w:w="1578" w:type="dxa"/>
            <w:noWrap w:val="0"/>
            <w:vAlign w:val="top"/>
          </w:tcPr>
          <w:p>
            <w:pPr>
              <w:pStyle w:val="102"/>
            </w:pPr>
            <w:r>
              <w:t>5.6.2.16</w:t>
            </w:r>
          </w:p>
        </w:tc>
        <w:tc>
          <w:tcPr>
            <w:tcW w:w="4052" w:type="dxa"/>
            <w:noWrap w:val="0"/>
            <w:vAlign w:val="top"/>
          </w:tcPr>
          <w:p>
            <w:pPr>
              <w:pStyle w:val="102"/>
            </w:pPr>
            <w:r>
              <w:t>Describes the spatial validity of an NF service consumer request for influencing traffic routing.</w:t>
            </w:r>
          </w:p>
        </w:tc>
        <w:tc>
          <w:tcPr>
            <w:tcW w:w="1750" w:type="dxa"/>
            <w:noWrap w:val="0"/>
            <w:vAlign w:val="top"/>
          </w:tcPr>
          <w:p>
            <w:pPr>
              <w:pStyle w:val="102"/>
              <w:rPr>
                <w:rFonts w:cs="Arial"/>
                <w:szCs w:val="18"/>
              </w:rPr>
            </w:pPr>
            <w:r>
              <w:rPr>
                <w:rFonts w:cs="Arial"/>
                <w:szCs w:val="18"/>
              </w:rPr>
              <w:t>InfluenceOnTrafficRouting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SpatialValidityRm</w:t>
            </w:r>
          </w:p>
        </w:tc>
        <w:tc>
          <w:tcPr>
            <w:tcW w:w="1578" w:type="dxa"/>
            <w:noWrap w:val="0"/>
            <w:vAlign w:val="top"/>
          </w:tcPr>
          <w:p>
            <w:pPr>
              <w:pStyle w:val="102"/>
            </w:pPr>
            <w:r>
              <w:t>5.6.2.28</w:t>
            </w:r>
          </w:p>
        </w:tc>
        <w:tc>
          <w:tcPr>
            <w:tcW w:w="4052" w:type="dxa"/>
            <w:noWrap w:val="0"/>
            <w:vAlign w:val="top"/>
          </w:tcPr>
          <w:p>
            <w:pPr>
              <w:pStyle w:val="102"/>
            </w:pPr>
            <w:r>
              <w:t>This data type is defined in the same way as the "SpatialValidity" data type, but with the OpenAPI "nullable: true" property.</w:t>
            </w:r>
          </w:p>
        </w:tc>
        <w:tc>
          <w:tcPr>
            <w:tcW w:w="1750" w:type="dxa"/>
            <w:noWrap w:val="0"/>
            <w:vAlign w:val="top"/>
          </w:tcPr>
          <w:p>
            <w:pPr>
              <w:pStyle w:val="102"/>
              <w:rPr>
                <w:rFonts w:cs="Arial"/>
                <w:szCs w:val="18"/>
              </w:rPr>
            </w:pPr>
            <w:r>
              <w:rPr>
                <w:rFonts w:cs="Arial"/>
                <w:szCs w:val="18"/>
              </w:rPr>
              <w:t>InfluenceOnTrafficRouting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SponId</w:t>
            </w:r>
          </w:p>
        </w:tc>
        <w:tc>
          <w:tcPr>
            <w:tcW w:w="1578" w:type="dxa"/>
            <w:noWrap w:val="0"/>
            <w:vAlign w:val="top"/>
          </w:tcPr>
          <w:p>
            <w:pPr>
              <w:pStyle w:val="102"/>
            </w:pPr>
            <w:r>
              <w:t>5.6.3.2</w:t>
            </w:r>
          </w:p>
        </w:tc>
        <w:tc>
          <w:tcPr>
            <w:tcW w:w="4052" w:type="dxa"/>
            <w:noWrap w:val="0"/>
            <w:vAlign w:val="top"/>
          </w:tcPr>
          <w:p>
            <w:pPr>
              <w:pStyle w:val="102"/>
            </w:pPr>
            <w:r>
              <w:t>Contains an Identity of a sponsor.</w:t>
            </w:r>
          </w:p>
        </w:tc>
        <w:tc>
          <w:tcPr>
            <w:tcW w:w="1750" w:type="dxa"/>
            <w:noWrap w:val="0"/>
            <w:vAlign w:val="top"/>
          </w:tcPr>
          <w:p>
            <w:pPr>
              <w:pStyle w:val="102"/>
              <w:rPr>
                <w:rFonts w:cs="Arial"/>
                <w:szCs w:val="18"/>
              </w:rPr>
            </w:pPr>
            <w:r>
              <w:rPr>
                <w:rFonts w:cs="Arial"/>
                <w:szCs w:val="18"/>
              </w:rPr>
              <w:t>SponsoredConnectivity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SponsoringStatus</w:t>
            </w:r>
          </w:p>
        </w:tc>
        <w:tc>
          <w:tcPr>
            <w:tcW w:w="1578" w:type="dxa"/>
            <w:noWrap w:val="0"/>
            <w:vAlign w:val="top"/>
          </w:tcPr>
          <w:p>
            <w:pPr>
              <w:pStyle w:val="102"/>
            </w:pPr>
            <w:r>
              <w:t>5.6.3.6</w:t>
            </w:r>
          </w:p>
        </w:tc>
        <w:tc>
          <w:tcPr>
            <w:tcW w:w="4052" w:type="dxa"/>
            <w:noWrap w:val="0"/>
            <w:vAlign w:val="top"/>
          </w:tcPr>
          <w:p>
            <w:pPr>
              <w:pStyle w:val="102"/>
            </w:pPr>
            <w:r>
              <w:t>Represents whether sponsored data connectivity is enabled or disabled/not enabled.</w:t>
            </w:r>
          </w:p>
        </w:tc>
        <w:tc>
          <w:tcPr>
            <w:tcW w:w="1750" w:type="dxa"/>
            <w:noWrap w:val="0"/>
            <w:vAlign w:val="top"/>
          </w:tcPr>
          <w:p>
            <w:pPr>
              <w:pStyle w:val="102"/>
              <w:rPr>
                <w:rFonts w:cs="Arial"/>
                <w:szCs w:val="18"/>
              </w:rPr>
            </w:pPr>
            <w:r>
              <w:rPr>
                <w:rFonts w:cs="Arial"/>
                <w:szCs w:val="18"/>
              </w:rPr>
              <w:t>SponsoredConnectivity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TemporalValidity</w:t>
            </w:r>
          </w:p>
        </w:tc>
        <w:tc>
          <w:tcPr>
            <w:tcW w:w="1578" w:type="dxa"/>
            <w:noWrap w:val="0"/>
            <w:vAlign w:val="top"/>
          </w:tcPr>
          <w:p>
            <w:pPr>
              <w:pStyle w:val="102"/>
            </w:pPr>
            <w:r>
              <w:t>5.6.2.22</w:t>
            </w:r>
          </w:p>
        </w:tc>
        <w:tc>
          <w:tcPr>
            <w:tcW w:w="4052" w:type="dxa"/>
            <w:noWrap w:val="0"/>
            <w:vAlign w:val="top"/>
          </w:tcPr>
          <w:p>
            <w:pPr>
              <w:pStyle w:val="102"/>
            </w:pPr>
            <w:r>
              <w:rPr>
                <w:rFonts w:cs="Arial"/>
                <w:szCs w:val="18"/>
              </w:rPr>
              <w:t xml:space="preserve">Indicates the time interval during which the </w:t>
            </w:r>
            <w:r>
              <w:t>NF service consumer</w:t>
            </w:r>
            <w:r>
              <w:rPr>
                <w:rFonts w:cs="Arial"/>
                <w:szCs w:val="18"/>
              </w:rPr>
              <w:t xml:space="preserve"> request is to be applied.</w:t>
            </w:r>
          </w:p>
        </w:tc>
        <w:tc>
          <w:tcPr>
            <w:tcW w:w="1750" w:type="dxa"/>
            <w:noWrap w:val="0"/>
            <w:vAlign w:val="top"/>
          </w:tcPr>
          <w:p>
            <w:pPr>
              <w:pStyle w:val="102"/>
              <w:rPr>
                <w:rFonts w:cs="Arial"/>
                <w:szCs w:val="18"/>
              </w:rPr>
            </w:pPr>
            <w:r>
              <w:rPr>
                <w:rFonts w:cs="Arial"/>
                <w:szCs w:val="18"/>
              </w:rPr>
              <w:t>InfluenceOnTrafficRouting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TerminationCause</w:t>
            </w:r>
          </w:p>
        </w:tc>
        <w:tc>
          <w:tcPr>
            <w:tcW w:w="1578" w:type="dxa"/>
            <w:noWrap w:val="0"/>
            <w:vAlign w:val="top"/>
          </w:tcPr>
          <w:p>
            <w:pPr>
              <w:pStyle w:val="102"/>
            </w:pPr>
            <w:r>
              <w:t>5.6.3.10</w:t>
            </w:r>
          </w:p>
        </w:tc>
        <w:tc>
          <w:tcPr>
            <w:tcW w:w="4052" w:type="dxa"/>
            <w:noWrap w:val="0"/>
            <w:vAlign w:val="top"/>
          </w:tcPr>
          <w:p>
            <w:pPr>
              <w:pStyle w:val="102"/>
            </w:pPr>
            <w:r>
              <w:t>Indicates the cause for requesting the deletion of the Individual Application Session Context resource.</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TerminationInfo</w:t>
            </w:r>
          </w:p>
        </w:tc>
        <w:tc>
          <w:tcPr>
            <w:tcW w:w="1578" w:type="dxa"/>
            <w:noWrap w:val="0"/>
            <w:vAlign w:val="top"/>
          </w:tcPr>
          <w:p>
            <w:pPr>
              <w:pStyle w:val="102"/>
            </w:pPr>
            <w:r>
              <w:t>5.6.2.12</w:t>
            </w:r>
          </w:p>
        </w:tc>
        <w:tc>
          <w:tcPr>
            <w:tcW w:w="4052" w:type="dxa"/>
            <w:noWrap w:val="0"/>
            <w:vAlign w:val="top"/>
          </w:tcPr>
          <w:p>
            <w:pPr>
              <w:pStyle w:val="102"/>
            </w:pPr>
            <w:r>
              <w:t>Includes information related to the termination of the Individual Application Session Context resource.</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TosTrafficClass</w:t>
            </w:r>
          </w:p>
        </w:tc>
        <w:tc>
          <w:tcPr>
            <w:tcW w:w="1578" w:type="dxa"/>
            <w:noWrap w:val="0"/>
            <w:vAlign w:val="top"/>
          </w:tcPr>
          <w:p>
            <w:pPr>
              <w:pStyle w:val="102"/>
            </w:pPr>
            <w:r>
              <w:t>5.6.3.2</w:t>
            </w:r>
          </w:p>
        </w:tc>
        <w:tc>
          <w:tcPr>
            <w:tcW w:w="4052" w:type="dxa"/>
            <w:noWrap w:val="0"/>
            <w:vAlign w:val="top"/>
          </w:tcPr>
          <w:p>
            <w:pPr>
              <w:pStyle w:val="102"/>
            </w:pPr>
            <w:r>
              <w:t>Contains the IPv4 Type-of-Service or the IPv6 Traffic-Class field and the ToS/Traffic Class mask field.</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TosTrafficClassRm</w:t>
            </w:r>
          </w:p>
        </w:tc>
        <w:tc>
          <w:tcPr>
            <w:tcW w:w="1578" w:type="dxa"/>
            <w:noWrap w:val="0"/>
            <w:vAlign w:val="top"/>
          </w:tcPr>
          <w:p>
            <w:pPr>
              <w:pStyle w:val="102"/>
            </w:pPr>
            <w:r>
              <w:t>5.6.3.2</w:t>
            </w:r>
          </w:p>
        </w:tc>
        <w:tc>
          <w:tcPr>
            <w:tcW w:w="4052" w:type="dxa"/>
            <w:noWrap w:val="0"/>
            <w:vAlign w:val="top"/>
          </w:tcPr>
          <w:p>
            <w:pPr>
              <w:pStyle w:val="102"/>
            </w:pPr>
            <w:r>
              <w:t>This data type is defined in the same way as the "TosTrafficClass" data type, but with the OpenAPI "nullable: true" property.</w:t>
            </w:r>
          </w:p>
        </w:tc>
        <w:tc>
          <w:tcPr>
            <w:tcW w:w="1750"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rPr>
                <w:lang w:eastAsia="zh-CN"/>
              </w:rPr>
              <w:t>TscPriorityLevel</w:t>
            </w:r>
          </w:p>
        </w:tc>
        <w:tc>
          <w:tcPr>
            <w:tcW w:w="1578" w:type="dxa"/>
            <w:noWrap w:val="0"/>
            <w:vAlign w:val="top"/>
          </w:tcPr>
          <w:p>
            <w:pPr>
              <w:pStyle w:val="102"/>
            </w:pPr>
            <w:r>
              <w:t>5.6.3.2</w:t>
            </w:r>
          </w:p>
        </w:tc>
        <w:tc>
          <w:tcPr>
            <w:tcW w:w="4052" w:type="dxa"/>
            <w:noWrap w:val="0"/>
            <w:vAlign w:val="top"/>
          </w:tcPr>
          <w:p>
            <w:pPr>
              <w:pStyle w:val="102"/>
            </w:pPr>
            <w:r>
              <w:rPr>
                <w:rFonts w:cs="Arial"/>
                <w:szCs w:val="18"/>
              </w:rPr>
              <w:t>Priority of TSC Flows</w:t>
            </w:r>
          </w:p>
        </w:tc>
        <w:tc>
          <w:tcPr>
            <w:tcW w:w="1750" w:type="dxa"/>
            <w:noWrap w:val="0"/>
            <w:vAlign w:val="top"/>
          </w:tcPr>
          <w:p>
            <w:pPr>
              <w:pStyle w:val="102"/>
              <w:rPr>
                <w:rFonts w:cs="Arial"/>
                <w:szCs w:val="18"/>
              </w:rPr>
            </w:pPr>
            <w:r>
              <w:rPr>
                <w:rFonts w:cs="Arial"/>
                <w:szCs w:val="18"/>
              </w:rP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rPr>
                <w:lang w:eastAsia="zh-CN"/>
              </w:rPr>
              <w:t>TscPriorityLevelRm</w:t>
            </w:r>
          </w:p>
        </w:tc>
        <w:tc>
          <w:tcPr>
            <w:tcW w:w="1578" w:type="dxa"/>
            <w:noWrap w:val="0"/>
            <w:vAlign w:val="top"/>
          </w:tcPr>
          <w:p>
            <w:pPr>
              <w:pStyle w:val="102"/>
            </w:pPr>
            <w:r>
              <w:t>5.6.3.2</w:t>
            </w:r>
          </w:p>
        </w:tc>
        <w:tc>
          <w:tcPr>
            <w:tcW w:w="4052" w:type="dxa"/>
            <w:noWrap w:val="0"/>
            <w:vAlign w:val="top"/>
          </w:tcPr>
          <w:p>
            <w:pPr>
              <w:pStyle w:val="102"/>
            </w:pPr>
            <w:r>
              <w:t>This data type is defined in the same way as the "TscPriorityLevel" data type, but with the OpenAPI "nullable: true" property</w:t>
            </w:r>
          </w:p>
        </w:tc>
        <w:tc>
          <w:tcPr>
            <w:tcW w:w="1750" w:type="dxa"/>
            <w:noWrap w:val="0"/>
            <w:vAlign w:val="top"/>
          </w:tcPr>
          <w:p>
            <w:pPr>
              <w:pStyle w:val="102"/>
              <w:rPr>
                <w:rFonts w:cs="Arial"/>
                <w:szCs w:val="18"/>
              </w:rPr>
            </w:pPr>
            <w:r>
              <w:rPr>
                <w:rFonts w:cs="Arial"/>
                <w:szCs w:val="18"/>
              </w:rP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TscaiInputContainer</w:t>
            </w:r>
          </w:p>
        </w:tc>
        <w:tc>
          <w:tcPr>
            <w:tcW w:w="1578" w:type="dxa"/>
            <w:noWrap w:val="0"/>
            <w:vAlign w:val="top"/>
          </w:tcPr>
          <w:p>
            <w:pPr>
              <w:pStyle w:val="102"/>
            </w:pPr>
            <w:r>
              <w:t>5.6.2.39</w:t>
            </w:r>
          </w:p>
        </w:tc>
        <w:tc>
          <w:tcPr>
            <w:tcW w:w="4052" w:type="dxa"/>
            <w:noWrap w:val="0"/>
            <w:vAlign w:val="top"/>
          </w:tcPr>
          <w:p>
            <w:pPr>
              <w:pStyle w:val="102"/>
            </w:pPr>
            <w:r>
              <w:t>TSCAI Input information container.</w:t>
            </w:r>
          </w:p>
        </w:tc>
        <w:tc>
          <w:tcPr>
            <w:tcW w:w="1750" w:type="dxa"/>
            <w:noWrap w:val="0"/>
            <w:vAlign w:val="top"/>
          </w:tcPr>
          <w:p>
            <w:pPr>
              <w:pStyle w:val="102"/>
              <w:rPr>
                <w:rFonts w:cs="Arial"/>
                <w:szCs w:val="18"/>
              </w:rPr>
            </w:pPr>
            <w:r>
              <w:rPr>
                <w:rFonts w:cs="Arial"/>
                <w:szCs w:val="18"/>
              </w:rP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TsnQosContainer</w:t>
            </w:r>
          </w:p>
        </w:tc>
        <w:tc>
          <w:tcPr>
            <w:tcW w:w="1578" w:type="dxa"/>
            <w:noWrap w:val="0"/>
            <w:vAlign w:val="top"/>
          </w:tcPr>
          <w:p>
            <w:pPr>
              <w:pStyle w:val="102"/>
            </w:pPr>
            <w:r>
              <w:t>5.6.2.35</w:t>
            </w:r>
          </w:p>
        </w:tc>
        <w:tc>
          <w:tcPr>
            <w:tcW w:w="4052" w:type="dxa"/>
            <w:noWrap w:val="0"/>
            <w:vAlign w:val="top"/>
          </w:tcPr>
          <w:p>
            <w:pPr>
              <w:pStyle w:val="102"/>
            </w:pPr>
            <w:r>
              <w:rPr>
                <w:rFonts w:cs="Arial"/>
                <w:szCs w:val="18"/>
              </w:rPr>
              <w:t>TSC traffic QoS parameters.</w:t>
            </w:r>
          </w:p>
        </w:tc>
        <w:tc>
          <w:tcPr>
            <w:tcW w:w="1750" w:type="dxa"/>
            <w:noWrap w:val="0"/>
            <w:vAlign w:val="top"/>
          </w:tcPr>
          <w:p>
            <w:pPr>
              <w:pStyle w:val="102"/>
            </w:pPr>
            <w:r>
              <w:t>TimeSensitiveNetworking</w:t>
            </w:r>
          </w:p>
          <w:p>
            <w:pPr>
              <w:pStyle w:val="102"/>
              <w:rPr>
                <w:rFonts w:cs="Arial"/>
                <w:szCs w:val="18"/>
              </w:rPr>
            </w:pPr>
            <w:ins w:id="0" w:author="CMCC" w:date="2024-04-08T11:08:13Z">
              <w:r>
                <w:rPr>
                  <w:rFonts w:cs="Arial"/>
                  <w:szCs w:val="18"/>
                </w:rPr>
                <w:t>MultiMedia</w:t>
              </w:r>
            </w:ins>
            <w:del w:id="1" w:author="CMCC" w:date="2024-04-08T11:08:13Z">
              <w:r>
                <w:rPr/>
                <w:delText>XRM_5G</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TsnQosContainerRm</w:t>
            </w:r>
          </w:p>
        </w:tc>
        <w:tc>
          <w:tcPr>
            <w:tcW w:w="1578" w:type="dxa"/>
            <w:noWrap w:val="0"/>
            <w:vAlign w:val="top"/>
          </w:tcPr>
          <w:p>
            <w:pPr>
              <w:pStyle w:val="102"/>
            </w:pPr>
            <w:r>
              <w:t>5.6.2.38</w:t>
            </w:r>
          </w:p>
        </w:tc>
        <w:tc>
          <w:tcPr>
            <w:tcW w:w="4052" w:type="dxa"/>
            <w:noWrap w:val="0"/>
            <w:vAlign w:val="top"/>
          </w:tcPr>
          <w:p>
            <w:pPr>
              <w:pStyle w:val="102"/>
              <w:rPr>
                <w:rFonts w:cs="Arial"/>
                <w:szCs w:val="18"/>
              </w:rPr>
            </w:pPr>
            <w:r>
              <w:t>This data type is defined in the same way as the "TsnQosContainer" data type, but with the OpenAPI "nullable: true" property.</w:t>
            </w:r>
          </w:p>
        </w:tc>
        <w:tc>
          <w:tcPr>
            <w:tcW w:w="1750" w:type="dxa"/>
            <w:noWrap w:val="0"/>
            <w:vAlign w:val="top"/>
          </w:tcPr>
          <w:p>
            <w:pPr>
              <w:pStyle w:val="102"/>
            </w:pPr>
            <w:r>
              <w:rPr>
                <w:rFonts w:cs="Arial"/>
                <w:szCs w:val="18"/>
              </w:rPr>
              <w:t>TimeSensitiveNetworking</w:t>
            </w:r>
          </w:p>
          <w:p>
            <w:pPr>
              <w:pStyle w:val="102"/>
            </w:pPr>
            <w:ins w:id="2" w:author="CMCC" w:date="2024-04-08T11:08:19Z">
              <w:r>
                <w:rPr>
                  <w:rFonts w:cs="Arial"/>
                  <w:szCs w:val="18"/>
                </w:rPr>
                <w:t>MultiMedia</w:t>
              </w:r>
            </w:ins>
            <w:del w:id="3" w:author="CMCC" w:date="2024-04-08T11:08:19Z">
              <w:r>
                <w:rPr/>
                <w:delText>XRM_5G</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t>UeIdentityInfo</w:t>
            </w:r>
          </w:p>
        </w:tc>
        <w:tc>
          <w:tcPr>
            <w:tcW w:w="1578" w:type="dxa"/>
            <w:noWrap w:val="0"/>
            <w:vAlign w:val="top"/>
          </w:tcPr>
          <w:p>
            <w:pPr>
              <w:pStyle w:val="102"/>
            </w:pPr>
            <w:r>
              <w:t>5.6.2.31</w:t>
            </w:r>
          </w:p>
        </w:tc>
        <w:tc>
          <w:tcPr>
            <w:tcW w:w="4052" w:type="dxa"/>
            <w:noWrap w:val="0"/>
            <w:vAlign w:val="top"/>
          </w:tcPr>
          <w:p>
            <w:pPr>
              <w:pStyle w:val="102"/>
            </w:pPr>
            <w:r>
              <w:t>Represents 5GS-Level UE Identities.</w:t>
            </w:r>
          </w:p>
        </w:tc>
        <w:tc>
          <w:tcPr>
            <w:tcW w:w="1750" w:type="dxa"/>
            <w:noWrap w:val="0"/>
            <w:vAlign w:val="top"/>
          </w:tcPr>
          <w:p>
            <w:pPr>
              <w:pStyle w:val="102"/>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pPr>
            <w:r>
              <w:rPr>
                <w:rFonts w:hint="eastAsia"/>
                <w:lang w:eastAsia="zh-CN"/>
              </w:rPr>
              <w:t>U</w:t>
            </w:r>
            <w:r>
              <w:rPr>
                <w:lang w:eastAsia="zh-CN"/>
              </w:rPr>
              <w:t>rspEnforcementReport</w:t>
            </w:r>
          </w:p>
        </w:tc>
        <w:tc>
          <w:tcPr>
            <w:tcW w:w="1578" w:type="dxa"/>
            <w:noWrap w:val="0"/>
            <w:vAlign w:val="top"/>
          </w:tcPr>
          <w:p>
            <w:pPr>
              <w:pStyle w:val="102"/>
            </w:pPr>
            <w:r>
              <w:t>5.6.2.53</w:t>
            </w:r>
          </w:p>
        </w:tc>
        <w:tc>
          <w:tcPr>
            <w:tcW w:w="4052" w:type="dxa"/>
            <w:noWrap w:val="0"/>
            <w:vAlign w:val="top"/>
          </w:tcPr>
          <w:p>
            <w:pPr>
              <w:pStyle w:val="102"/>
            </w:pPr>
            <w:r>
              <w:t>Indicates the UE reporting Connection Capabilities from associated URSP rule(s).</w:t>
            </w:r>
          </w:p>
        </w:tc>
        <w:tc>
          <w:tcPr>
            <w:tcW w:w="1750" w:type="dxa"/>
            <w:noWrap w:val="0"/>
            <w:vAlign w:val="top"/>
          </w:tcPr>
          <w:p>
            <w:pPr>
              <w:pStyle w:val="102"/>
              <w:rPr>
                <w:rFonts w:cs="Arial"/>
                <w:szCs w:val="18"/>
              </w:rPr>
            </w:pPr>
            <w:r>
              <w:t>URSPEnforcement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noWrap w:val="0"/>
            <w:vAlign w:val="top"/>
          </w:tcPr>
          <w:p>
            <w:pPr>
              <w:pStyle w:val="102"/>
              <w:rPr>
                <w:lang w:eastAsia="zh-CN"/>
              </w:rPr>
            </w:pPr>
            <w:r>
              <w:t>UplinkDownlinkSupport</w:t>
            </w:r>
          </w:p>
        </w:tc>
        <w:tc>
          <w:tcPr>
            <w:tcW w:w="1578" w:type="dxa"/>
            <w:noWrap w:val="0"/>
            <w:vAlign w:val="top"/>
          </w:tcPr>
          <w:p>
            <w:pPr>
              <w:pStyle w:val="102"/>
            </w:pPr>
            <w:r>
              <w:t>5.6.3.25</w:t>
            </w:r>
          </w:p>
        </w:tc>
        <w:tc>
          <w:tcPr>
            <w:tcW w:w="4052" w:type="dxa"/>
            <w:noWrap w:val="0"/>
            <w:vAlign w:val="top"/>
          </w:tcPr>
          <w:p>
            <w:pPr>
              <w:pStyle w:val="102"/>
            </w:pPr>
            <w:r>
              <w:rPr>
                <w:rFonts w:cs="Arial"/>
                <w:szCs w:val="18"/>
              </w:rPr>
              <w:t>Represents whether a capability is supported for the UL, the DL or both UL and DL service data flows</w:t>
            </w:r>
          </w:p>
        </w:tc>
        <w:tc>
          <w:tcPr>
            <w:tcW w:w="1750" w:type="dxa"/>
            <w:noWrap w:val="0"/>
            <w:vAlign w:val="top"/>
          </w:tcPr>
          <w:p>
            <w:pPr>
              <w:pStyle w:val="102"/>
            </w:pPr>
            <w:r>
              <w:rPr>
                <w:rFonts w:cs="Arial"/>
                <w:szCs w:val="18"/>
              </w:rPr>
              <w:t>L4S</w:t>
            </w:r>
          </w:p>
        </w:tc>
      </w:tr>
    </w:tbl>
    <w:p/>
    <w:p>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pPr>
        <w:pStyle w:val="104"/>
      </w:pPr>
      <w:r>
        <w:t>Table 5.6.1-2: Npcf_PolicyAuthorization re-used Data Types</w:t>
      </w:r>
    </w:p>
    <w:tbl>
      <w:tblPr>
        <w:tblStyle w:val="89"/>
        <w:tblW w:w="965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1977"/>
        <w:gridCol w:w="1987"/>
        <w:gridCol w:w="3794"/>
        <w:gridCol w:w="189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tblHeader/>
          <w:jc w:val="center"/>
        </w:trPr>
        <w:tc>
          <w:tcPr>
            <w:tcW w:w="1977" w:type="dxa"/>
            <w:shd w:val="clear" w:color="auto" w:fill="C0C0C0"/>
            <w:noWrap w:val="0"/>
            <w:vAlign w:val="top"/>
          </w:tcPr>
          <w:p>
            <w:pPr>
              <w:pStyle w:val="100"/>
            </w:pPr>
            <w:r>
              <w:t>Data type</w:t>
            </w:r>
          </w:p>
        </w:tc>
        <w:tc>
          <w:tcPr>
            <w:tcW w:w="1987" w:type="dxa"/>
            <w:shd w:val="clear" w:color="auto" w:fill="C0C0C0"/>
            <w:noWrap w:val="0"/>
            <w:vAlign w:val="top"/>
          </w:tcPr>
          <w:p>
            <w:pPr>
              <w:pStyle w:val="100"/>
            </w:pPr>
            <w:r>
              <w:t>Reference</w:t>
            </w:r>
          </w:p>
        </w:tc>
        <w:tc>
          <w:tcPr>
            <w:tcW w:w="3794" w:type="dxa"/>
            <w:shd w:val="clear" w:color="auto" w:fill="C0C0C0"/>
            <w:noWrap w:val="0"/>
            <w:vAlign w:val="top"/>
          </w:tcPr>
          <w:p>
            <w:pPr>
              <w:pStyle w:val="100"/>
            </w:pPr>
            <w:r>
              <w:t>Comments</w:t>
            </w:r>
          </w:p>
        </w:tc>
        <w:tc>
          <w:tcPr>
            <w:tcW w:w="1897" w:type="dxa"/>
            <w:shd w:val="clear" w:color="auto" w:fill="C0C0C0"/>
            <w:noWrap w:val="0"/>
            <w:vAlign w:val="top"/>
          </w:tcPr>
          <w:p>
            <w:pPr>
              <w:pStyle w:val="100"/>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pPr>
            <w:bookmarkStart w:id="11" w:name="_Hlk530135456"/>
            <w:r>
              <w:rPr>
                <w:lang w:eastAsia="zh-CN"/>
              </w:rPr>
              <w:t>AccNetChargingAddress</w:t>
            </w:r>
            <w:bookmarkEnd w:id="11"/>
          </w:p>
        </w:tc>
        <w:tc>
          <w:tcPr>
            <w:tcW w:w="1987" w:type="dxa"/>
            <w:noWrap w:val="0"/>
            <w:vAlign w:val="top"/>
          </w:tcPr>
          <w:p>
            <w:pPr>
              <w:pStyle w:val="102"/>
            </w:pPr>
            <w:r>
              <w:t>3GPP TS 29.512 [8]</w:t>
            </w:r>
          </w:p>
        </w:tc>
        <w:tc>
          <w:tcPr>
            <w:tcW w:w="3794" w:type="dxa"/>
            <w:noWrap w:val="0"/>
            <w:vAlign w:val="top"/>
          </w:tcPr>
          <w:p>
            <w:pPr>
              <w:pStyle w:val="102"/>
            </w:pPr>
            <w:r>
              <w:rPr>
                <w:rFonts w:cs="Arial"/>
                <w:szCs w:val="18"/>
              </w:rPr>
              <w:t>Indicates the IP address of the network entity within the access network performing charging.</w:t>
            </w:r>
          </w:p>
        </w:tc>
        <w:tc>
          <w:tcPr>
            <w:tcW w:w="1897" w:type="dxa"/>
            <w:noWrap w:val="0"/>
            <w:vAlign w:val="top"/>
          </w:tcPr>
          <w:p>
            <w:pPr>
              <w:pStyle w:val="102"/>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rPr>
                <w:lang w:eastAsia="zh-CN"/>
              </w:rPr>
            </w:pPr>
            <w:r>
              <w:t>AccessType</w:t>
            </w:r>
          </w:p>
        </w:tc>
        <w:tc>
          <w:tcPr>
            <w:tcW w:w="1987" w:type="dxa"/>
            <w:noWrap w:val="0"/>
            <w:vAlign w:val="top"/>
          </w:tcPr>
          <w:p>
            <w:pPr>
              <w:pStyle w:val="102"/>
            </w:pPr>
            <w:r>
              <w:t>3GPP TS 29.571 [12]</w:t>
            </w:r>
          </w:p>
        </w:tc>
        <w:tc>
          <w:tcPr>
            <w:tcW w:w="3794" w:type="dxa"/>
            <w:noWrap w:val="0"/>
            <w:vAlign w:val="top"/>
          </w:tcPr>
          <w:p>
            <w:pPr>
              <w:pStyle w:val="102"/>
              <w:rPr>
                <w:rFonts w:cs="Arial"/>
                <w:szCs w:val="18"/>
              </w:rPr>
            </w:pPr>
            <w:r>
              <w:t>The identification of the type of access network.</w:t>
            </w:r>
          </w:p>
        </w:tc>
        <w:tc>
          <w:tcPr>
            <w:tcW w:w="1897"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rPr>
                <w:lang w:eastAsia="zh-CN"/>
              </w:rPr>
            </w:pPr>
            <w:r>
              <w:rPr>
                <w:lang w:eastAsia="zh-CN"/>
              </w:rPr>
              <w:t>AccumulatedUsage</w:t>
            </w:r>
          </w:p>
        </w:tc>
        <w:tc>
          <w:tcPr>
            <w:tcW w:w="1987" w:type="dxa"/>
            <w:noWrap w:val="0"/>
            <w:vAlign w:val="top"/>
          </w:tcPr>
          <w:p>
            <w:pPr>
              <w:pStyle w:val="102"/>
            </w:pPr>
            <w:r>
              <w:t>3GPP TS 29.122 [15]</w:t>
            </w:r>
          </w:p>
        </w:tc>
        <w:tc>
          <w:tcPr>
            <w:tcW w:w="3794" w:type="dxa"/>
            <w:noWrap w:val="0"/>
            <w:vAlign w:val="top"/>
          </w:tcPr>
          <w:p>
            <w:pPr>
              <w:pStyle w:val="102"/>
              <w:rPr>
                <w:rFonts w:cs="Arial"/>
                <w:szCs w:val="18"/>
              </w:rPr>
            </w:pPr>
            <w:r>
              <w:rPr>
                <w:rFonts w:cs="Arial"/>
                <w:szCs w:val="18"/>
              </w:rPr>
              <w:t>Accumulated Usage.</w:t>
            </w:r>
          </w:p>
        </w:tc>
        <w:tc>
          <w:tcPr>
            <w:tcW w:w="1897" w:type="dxa"/>
            <w:noWrap w:val="0"/>
            <w:vAlign w:val="top"/>
          </w:tcPr>
          <w:p>
            <w:pPr>
              <w:pStyle w:val="102"/>
              <w:rPr>
                <w:rFonts w:cs="Arial"/>
                <w:szCs w:val="18"/>
              </w:rPr>
            </w:pPr>
            <w:r>
              <w:rPr>
                <w:rFonts w:cs="Arial"/>
                <w:szCs w:val="18"/>
              </w:rPr>
              <w:t>SponsoredConnectivity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rPr>
                <w:lang w:eastAsia="zh-CN"/>
              </w:rPr>
            </w:pPr>
            <w:r>
              <w:t>AdditionalAccessInfo</w:t>
            </w:r>
          </w:p>
        </w:tc>
        <w:tc>
          <w:tcPr>
            <w:tcW w:w="1987" w:type="dxa"/>
            <w:noWrap w:val="0"/>
            <w:vAlign w:val="top"/>
          </w:tcPr>
          <w:p>
            <w:pPr>
              <w:pStyle w:val="102"/>
            </w:pPr>
            <w:r>
              <w:t>3GPP TS 29.512 [8]</w:t>
            </w:r>
          </w:p>
        </w:tc>
        <w:tc>
          <w:tcPr>
            <w:tcW w:w="3794" w:type="dxa"/>
            <w:noWrap w:val="0"/>
            <w:vAlign w:val="top"/>
          </w:tcPr>
          <w:p>
            <w:pPr>
              <w:pStyle w:val="102"/>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7" w:type="dxa"/>
            <w:noWrap w:val="0"/>
            <w:vAlign w:val="top"/>
          </w:tcPr>
          <w:p>
            <w:pPr>
              <w:pStyle w:val="102"/>
              <w:rPr>
                <w:rFonts w:cs="Arial"/>
                <w:szCs w:val="18"/>
              </w:rPr>
            </w:pPr>
            <w:r>
              <w:rPr>
                <w:rFonts w:cs="Arial"/>
                <w:szCs w:val="18"/>
              </w:rPr>
              <w:t>ATSSS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rPr>
                <w:lang w:eastAsia="zh-CN"/>
              </w:rPr>
            </w:pPr>
            <w:r>
              <w:rPr>
                <w:lang w:eastAsia="zh-CN"/>
              </w:rPr>
              <w:t>AfSigProtocol</w:t>
            </w:r>
          </w:p>
        </w:tc>
        <w:tc>
          <w:tcPr>
            <w:tcW w:w="1987" w:type="dxa"/>
            <w:noWrap w:val="0"/>
            <w:vAlign w:val="top"/>
          </w:tcPr>
          <w:p>
            <w:pPr>
              <w:pStyle w:val="102"/>
            </w:pPr>
            <w:r>
              <w:t>3GPP TS 29.512 [8]</w:t>
            </w:r>
          </w:p>
        </w:tc>
        <w:tc>
          <w:tcPr>
            <w:tcW w:w="3794" w:type="dxa"/>
            <w:noWrap w:val="0"/>
            <w:vAlign w:val="top"/>
          </w:tcPr>
          <w:p>
            <w:pPr>
              <w:pStyle w:val="102"/>
              <w:rPr>
                <w:rFonts w:cs="Arial"/>
                <w:szCs w:val="18"/>
              </w:rPr>
            </w:pPr>
            <w:r>
              <w:t>Represents the protocol used for signalling between the UE and the NF service consumer.</w:t>
            </w:r>
          </w:p>
        </w:tc>
        <w:tc>
          <w:tcPr>
            <w:tcW w:w="1897" w:type="dxa"/>
            <w:noWrap w:val="0"/>
            <w:vAlign w:val="top"/>
          </w:tcPr>
          <w:p>
            <w:pPr>
              <w:pStyle w:val="102"/>
              <w:rPr>
                <w:rFonts w:cs="Arial"/>
                <w:szCs w:val="18"/>
              </w:rPr>
            </w:pPr>
            <w:r>
              <w:rPr>
                <w:rFonts w:cs="Arial"/>
                <w:szCs w:val="18"/>
              </w:rPr>
              <w:t>ProvAFsignalFlow</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rPr>
                <w:lang w:eastAsia="zh-CN"/>
              </w:rPr>
            </w:pPr>
            <w:r>
              <w:t>ApplicationChargingId</w:t>
            </w:r>
          </w:p>
        </w:tc>
        <w:tc>
          <w:tcPr>
            <w:tcW w:w="1987" w:type="dxa"/>
            <w:noWrap w:val="0"/>
            <w:vAlign w:val="top"/>
          </w:tcPr>
          <w:p>
            <w:pPr>
              <w:pStyle w:val="102"/>
            </w:pPr>
            <w:r>
              <w:t>3GPP TS 29.571 [12]</w:t>
            </w:r>
          </w:p>
        </w:tc>
        <w:tc>
          <w:tcPr>
            <w:tcW w:w="3794" w:type="dxa"/>
            <w:noWrap w:val="0"/>
            <w:vAlign w:val="top"/>
          </w:tcPr>
          <w:p>
            <w:pPr>
              <w:pStyle w:val="102"/>
            </w:pPr>
            <w:r>
              <w:rPr>
                <w:lang w:bidi="ar-IQ"/>
              </w:rPr>
              <w:t>Application provided charging identifier allowing correlation of charging information.</w:t>
            </w:r>
          </w:p>
        </w:tc>
        <w:tc>
          <w:tcPr>
            <w:tcW w:w="1897" w:type="dxa"/>
            <w:noWrap w:val="0"/>
            <w:vAlign w:val="top"/>
          </w:tcPr>
          <w:p>
            <w:pPr>
              <w:pStyle w:val="102"/>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pPr>
            <w:r>
              <w:t>AverWindow</w:t>
            </w:r>
          </w:p>
        </w:tc>
        <w:tc>
          <w:tcPr>
            <w:tcW w:w="1987" w:type="dxa"/>
            <w:noWrap w:val="0"/>
            <w:vAlign w:val="top"/>
          </w:tcPr>
          <w:p>
            <w:pPr>
              <w:pStyle w:val="102"/>
            </w:pPr>
            <w:r>
              <w:t>3GPP TS 29.571 [12]</w:t>
            </w:r>
          </w:p>
        </w:tc>
        <w:tc>
          <w:tcPr>
            <w:tcW w:w="3794" w:type="dxa"/>
            <w:noWrap w:val="0"/>
            <w:vAlign w:val="top"/>
          </w:tcPr>
          <w:p>
            <w:pPr>
              <w:pStyle w:val="102"/>
              <w:rPr>
                <w:lang w:bidi="ar-IQ"/>
              </w:rPr>
            </w:pPr>
            <w:r>
              <w:t>Averaging Window.</w:t>
            </w:r>
          </w:p>
        </w:tc>
        <w:tc>
          <w:tcPr>
            <w:tcW w:w="1897" w:type="dxa"/>
            <w:noWrap w:val="0"/>
            <w:vAlign w:val="top"/>
          </w:tcPr>
          <w:p>
            <w:pPr>
              <w:pStyle w:val="102"/>
              <w:rPr>
                <w:rFonts w:cs="Arial"/>
                <w:szCs w:val="18"/>
              </w:rPr>
            </w:pPr>
            <w:r>
              <w:rPr>
                <w:rFonts w:hint="eastAsia"/>
              </w:rPr>
              <w:t>EnQoSMon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pPr>
            <w:r>
              <w:t>AverWindowRm</w:t>
            </w:r>
          </w:p>
        </w:tc>
        <w:tc>
          <w:tcPr>
            <w:tcW w:w="1987" w:type="dxa"/>
            <w:noWrap w:val="0"/>
            <w:vAlign w:val="top"/>
          </w:tcPr>
          <w:p>
            <w:pPr>
              <w:pStyle w:val="102"/>
            </w:pPr>
            <w:r>
              <w:t>3GPP TS 29.571 [12]</w:t>
            </w:r>
          </w:p>
        </w:tc>
        <w:tc>
          <w:tcPr>
            <w:tcW w:w="3794" w:type="dxa"/>
            <w:noWrap w:val="0"/>
            <w:vAlign w:val="top"/>
          </w:tcPr>
          <w:p>
            <w:pPr>
              <w:pStyle w:val="102"/>
              <w:rPr>
                <w:lang w:bidi="ar-IQ"/>
              </w:rPr>
            </w:pPr>
            <w:r>
              <w:t>This data type is defined in the same way as the "AverWindow" data type, but with the OpenAPI "nullable: true" property.</w:t>
            </w:r>
          </w:p>
        </w:tc>
        <w:tc>
          <w:tcPr>
            <w:tcW w:w="1897" w:type="dxa"/>
            <w:noWrap w:val="0"/>
            <w:vAlign w:val="top"/>
          </w:tcPr>
          <w:p>
            <w:pPr>
              <w:pStyle w:val="102"/>
              <w:rPr>
                <w:rFonts w:cs="Arial"/>
                <w:szCs w:val="18"/>
              </w:rPr>
            </w:pPr>
            <w:r>
              <w:rPr>
                <w:rFonts w:hint="eastAsia"/>
              </w:rPr>
              <w:t>EnQoSMon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pPr>
            <w:r>
              <w:rPr>
                <w:lang w:eastAsia="zh-CN"/>
              </w:rPr>
              <w:t>BdtReferenceId</w:t>
            </w:r>
          </w:p>
        </w:tc>
        <w:tc>
          <w:tcPr>
            <w:tcW w:w="1987" w:type="dxa"/>
            <w:noWrap w:val="0"/>
            <w:vAlign w:val="top"/>
          </w:tcPr>
          <w:p>
            <w:pPr>
              <w:pStyle w:val="102"/>
            </w:pPr>
            <w:r>
              <w:t>3GPP TS 29.122 [15]</w:t>
            </w:r>
          </w:p>
        </w:tc>
        <w:tc>
          <w:tcPr>
            <w:tcW w:w="3794" w:type="dxa"/>
            <w:noWrap w:val="0"/>
            <w:vAlign w:val="top"/>
          </w:tcPr>
          <w:p>
            <w:pPr>
              <w:pStyle w:val="102"/>
              <w:rPr>
                <w:rFonts w:cs="Arial"/>
                <w:szCs w:val="18"/>
              </w:rPr>
            </w:pPr>
            <w:r>
              <w:rPr>
                <w:rFonts w:cs="Arial"/>
                <w:szCs w:val="18"/>
              </w:rPr>
              <w:t>Identifies transfer policies.</w:t>
            </w:r>
          </w:p>
        </w:tc>
        <w:tc>
          <w:tcPr>
            <w:tcW w:w="1897"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pPr>
            <w:r>
              <w:rPr>
                <w:rFonts w:cs="Arial"/>
              </w:rPr>
              <w:t>BitRate</w:t>
            </w:r>
          </w:p>
        </w:tc>
        <w:tc>
          <w:tcPr>
            <w:tcW w:w="1987" w:type="dxa"/>
            <w:noWrap w:val="0"/>
            <w:vAlign w:val="top"/>
          </w:tcPr>
          <w:p>
            <w:pPr>
              <w:pStyle w:val="102"/>
            </w:pPr>
            <w:r>
              <w:rPr>
                <w:rFonts w:cs="Arial"/>
              </w:rPr>
              <w:t>3GPP TS 29.571 [12]</w:t>
            </w:r>
          </w:p>
        </w:tc>
        <w:tc>
          <w:tcPr>
            <w:tcW w:w="3794" w:type="dxa"/>
            <w:noWrap w:val="0"/>
            <w:vAlign w:val="top"/>
          </w:tcPr>
          <w:p>
            <w:pPr>
              <w:pStyle w:val="102"/>
              <w:rPr>
                <w:rFonts w:cs="Arial"/>
                <w:szCs w:val="18"/>
              </w:rPr>
            </w:pPr>
            <w:r>
              <w:rPr>
                <w:rFonts w:cs="Arial"/>
              </w:rPr>
              <w:t>Specifies bitrate in kbits per second.</w:t>
            </w:r>
          </w:p>
        </w:tc>
        <w:tc>
          <w:tcPr>
            <w:tcW w:w="1897"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rPr>
                <w:rFonts w:cs="Arial"/>
              </w:rPr>
            </w:pPr>
            <w:r>
              <w:rPr>
                <w:rFonts w:cs="Arial"/>
              </w:rPr>
              <w:t>BitRateRm</w:t>
            </w:r>
          </w:p>
        </w:tc>
        <w:tc>
          <w:tcPr>
            <w:tcW w:w="1987" w:type="dxa"/>
            <w:noWrap w:val="0"/>
            <w:vAlign w:val="top"/>
          </w:tcPr>
          <w:p>
            <w:pPr>
              <w:pStyle w:val="102"/>
              <w:rPr>
                <w:rFonts w:cs="Arial"/>
              </w:rPr>
            </w:pPr>
            <w:r>
              <w:rPr>
                <w:rFonts w:cs="Arial"/>
              </w:rPr>
              <w:t>3GPP TS 29.571 [12]</w:t>
            </w:r>
          </w:p>
        </w:tc>
        <w:tc>
          <w:tcPr>
            <w:tcW w:w="3794" w:type="dxa"/>
            <w:noWrap w:val="0"/>
            <w:vAlign w:val="top"/>
          </w:tcPr>
          <w:p>
            <w:pPr>
              <w:pStyle w:val="102"/>
              <w:rPr>
                <w:rFonts w:cs="Arial"/>
              </w:rPr>
            </w:pPr>
            <w:r>
              <w:t>This data type is defined in the same way as the "BitRate" data type, but with the OpenAPI "nullable: true" property.</w:t>
            </w:r>
          </w:p>
        </w:tc>
        <w:tc>
          <w:tcPr>
            <w:tcW w:w="1897"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rPr>
                <w:rFonts w:cs="Arial"/>
              </w:rPr>
            </w:pPr>
            <w:r>
              <w:t>BridgeManagementContainer</w:t>
            </w:r>
          </w:p>
        </w:tc>
        <w:tc>
          <w:tcPr>
            <w:tcW w:w="1987" w:type="dxa"/>
            <w:noWrap w:val="0"/>
            <w:vAlign w:val="top"/>
          </w:tcPr>
          <w:p>
            <w:pPr>
              <w:pStyle w:val="102"/>
              <w:rPr>
                <w:rFonts w:cs="Arial"/>
              </w:rPr>
            </w:pPr>
            <w:r>
              <w:t>3GPP TS 29.512 [8]</w:t>
            </w:r>
          </w:p>
        </w:tc>
        <w:tc>
          <w:tcPr>
            <w:tcW w:w="3794" w:type="dxa"/>
            <w:noWrap w:val="0"/>
            <w:vAlign w:val="top"/>
          </w:tcPr>
          <w:p>
            <w:pPr>
              <w:pStyle w:val="102"/>
            </w:pPr>
            <w:r>
              <w:rPr>
                <w:rFonts w:cs="Arial"/>
                <w:szCs w:val="18"/>
              </w:rPr>
              <w:t>Contains TSC user plane node management information.</w:t>
            </w:r>
          </w:p>
        </w:tc>
        <w:tc>
          <w:tcPr>
            <w:tcW w:w="1897" w:type="dxa"/>
            <w:noWrap w:val="0"/>
            <w:vAlign w:val="top"/>
          </w:tcPr>
          <w:p>
            <w:pPr>
              <w:pStyle w:val="102"/>
              <w:rPr>
                <w:rFonts w:cs="Arial"/>
                <w:szCs w:val="18"/>
              </w:rPr>
            </w:pPr>
            <w:r>
              <w:rPr>
                <w:rFonts w:cs="Arial"/>
                <w:szCs w:val="18"/>
              </w:rP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rPr>
                <w:rFonts w:cs="Arial"/>
              </w:rPr>
            </w:pPr>
            <w:r>
              <w:t>Bytes</w:t>
            </w:r>
          </w:p>
        </w:tc>
        <w:tc>
          <w:tcPr>
            <w:tcW w:w="1987" w:type="dxa"/>
            <w:noWrap w:val="0"/>
            <w:vAlign w:val="top"/>
          </w:tcPr>
          <w:p>
            <w:pPr>
              <w:pStyle w:val="102"/>
              <w:rPr>
                <w:rFonts w:cs="Arial"/>
              </w:rPr>
            </w:pPr>
            <w:r>
              <w:t>3GPP TS 29.571 [12]</w:t>
            </w:r>
          </w:p>
        </w:tc>
        <w:tc>
          <w:tcPr>
            <w:tcW w:w="3794" w:type="dxa"/>
            <w:noWrap w:val="0"/>
            <w:vAlign w:val="top"/>
          </w:tcPr>
          <w:p>
            <w:pPr>
              <w:pStyle w:val="102"/>
            </w:pPr>
            <w:r>
              <w:t>String with format "byte".</w:t>
            </w:r>
          </w:p>
        </w:tc>
        <w:tc>
          <w:tcPr>
            <w:tcW w:w="1897"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rPr>
                <w:rFonts w:cs="Arial"/>
              </w:rPr>
            </w:pPr>
            <w:r>
              <w:t>ChargingId</w:t>
            </w:r>
          </w:p>
        </w:tc>
        <w:tc>
          <w:tcPr>
            <w:tcW w:w="1987" w:type="dxa"/>
            <w:noWrap w:val="0"/>
            <w:vAlign w:val="top"/>
          </w:tcPr>
          <w:p>
            <w:pPr>
              <w:pStyle w:val="102"/>
              <w:rPr>
                <w:rFonts w:cs="Arial"/>
              </w:rPr>
            </w:pPr>
            <w:r>
              <w:rPr>
                <w:rFonts w:cs="Arial"/>
              </w:rPr>
              <w:t>3GPP TS 29.571 [12]</w:t>
            </w:r>
          </w:p>
        </w:tc>
        <w:tc>
          <w:tcPr>
            <w:tcW w:w="3794" w:type="dxa"/>
            <w:noWrap w:val="0"/>
            <w:vAlign w:val="top"/>
          </w:tcPr>
          <w:p>
            <w:pPr>
              <w:pStyle w:val="102"/>
            </w:pPr>
            <w:r>
              <w:rPr>
                <w:lang w:bidi="ar-IQ"/>
              </w:rPr>
              <w:t>Charging identifier allowing correlation of charging information.</w:t>
            </w:r>
          </w:p>
        </w:tc>
        <w:tc>
          <w:tcPr>
            <w:tcW w:w="1897" w:type="dxa"/>
            <w:noWrap w:val="0"/>
            <w:vAlign w:val="top"/>
          </w:tcPr>
          <w:p>
            <w:pPr>
              <w:pStyle w:val="102"/>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rPr>
                <w:rFonts w:cs="Arial"/>
              </w:rPr>
            </w:pPr>
            <w:r>
              <w:rPr>
                <w:rFonts w:cs="Arial"/>
              </w:rPr>
              <w:t>DateTime</w:t>
            </w:r>
          </w:p>
        </w:tc>
        <w:tc>
          <w:tcPr>
            <w:tcW w:w="1987" w:type="dxa"/>
            <w:noWrap w:val="0"/>
            <w:vAlign w:val="top"/>
          </w:tcPr>
          <w:p>
            <w:pPr>
              <w:pStyle w:val="102"/>
              <w:rPr>
                <w:rFonts w:cs="Arial"/>
              </w:rPr>
            </w:pPr>
            <w:r>
              <w:rPr>
                <w:rFonts w:cs="Arial"/>
              </w:rPr>
              <w:t>3GPP TS 29.571 [12]</w:t>
            </w:r>
          </w:p>
        </w:tc>
        <w:tc>
          <w:tcPr>
            <w:tcW w:w="3794" w:type="dxa"/>
            <w:noWrap w:val="0"/>
            <w:vAlign w:val="top"/>
          </w:tcPr>
          <w:p>
            <w:pPr>
              <w:pStyle w:val="102"/>
              <w:rPr>
                <w:rFonts w:cs="Arial"/>
              </w:rPr>
            </w:pPr>
            <w:r>
              <w:t>String with format "date-time" as defined in OpenAPI Specification [11].</w:t>
            </w:r>
          </w:p>
        </w:tc>
        <w:tc>
          <w:tcPr>
            <w:tcW w:w="1897" w:type="dxa"/>
            <w:noWrap w:val="0"/>
            <w:vAlign w:val="top"/>
          </w:tcPr>
          <w:p>
            <w:pPr>
              <w:pStyle w:val="102"/>
              <w:rPr>
                <w:rFonts w:cs="Arial"/>
                <w:szCs w:val="18"/>
              </w:rPr>
            </w:pPr>
            <w:r>
              <w:rPr>
                <w:rFonts w:cs="Arial"/>
                <w:szCs w:val="18"/>
              </w:rPr>
              <w:t>InfluenceOnTrafficRouting, 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rPr>
                <w:lang w:eastAsia="zh-CN"/>
              </w:rPr>
            </w:pPr>
            <w:r>
              <w:t>Dnn</w:t>
            </w:r>
          </w:p>
        </w:tc>
        <w:tc>
          <w:tcPr>
            <w:tcW w:w="1987" w:type="dxa"/>
            <w:noWrap w:val="0"/>
            <w:vAlign w:val="top"/>
          </w:tcPr>
          <w:p>
            <w:pPr>
              <w:pStyle w:val="102"/>
            </w:pPr>
            <w:r>
              <w:t>3GPP TS 29.571 [12]</w:t>
            </w:r>
          </w:p>
        </w:tc>
        <w:tc>
          <w:tcPr>
            <w:tcW w:w="3794" w:type="dxa"/>
            <w:noWrap w:val="0"/>
            <w:vAlign w:val="top"/>
          </w:tcPr>
          <w:p>
            <w:pPr>
              <w:pStyle w:val="102"/>
              <w:rPr>
                <w:rFonts w:cs="Arial"/>
                <w:szCs w:val="18"/>
              </w:rPr>
            </w:pPr>
            <w:r>
              <w:rPr>
                <w:rFonts w:cs="Arial"/>
                <w:szCs w:val="18"/>
              </w:rPr>
              <w:t>Data Network Name.</w:t>
            </w:r>
          </w:p>
        </w:tc>
        <w:tc>
          <w:tcPr>
            <w:tcW w:w="1897"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pPr>
            <w:r>
              <w:t>DurationSec</w:t>
            </w:r>
          </w:p>
        </w:tc>
        <w:tc>
          <w:tcPr>
            <w:tcW w:w="1987" w:type="dxa"/>
            <w:noWrap w:val="0"/>
            <w:vAlign w:val="top"/>
          </w:tcPr>
          <w:p>
            <w:pPr>
              <w:pStyle w:val="102"/>
            </w:pPr>
            <w:r>
              <w:t>3GPP TS 29.571 [12]</w:t>
            </w:r>
          </w:p>
        </w:tc>
        <w:tc>
          <w:tcPr>
            <w:tcW w:w="3794" w:type="dxa"/>
            <w:noWrap w:val="0"/>
            <w:vAlign w:val="top"/>
          </w:tcPr>
          <w:p>
            <w:pPr>
              <w:pStyle w:val="102"/>
              <w:rPr>
                <w:rFonts w:cs="Arial"/>
                <w:szCs w:val="18"/>
              </w:rPr>
            </w:pPr>
            <w:r>
              <w:rPr>
                <w:rFonts w:cs="Arial"/>
                <w:szCs w:val="18"/>
              </w:rPr>
              <w:t>Identifies a period of time in units of seconds.</w:t>
            </w:r>
          </w:p>
        </w:tc>
        <w:tc>
          <w:tcPr>
            <w:tcW w:w="1897" w:type="dxa"/>
            <w:noWrap w:val="0"/>
            <w:vAlign w:val="top"/>
          </w:tcPr>
          <w:p>
            <w:pPr>
              <w:pStyle w:val="102"/>
              <w:rPr>
                <w:rFonts w:cs="Arial"/>
                <w:szCs w:val="18"/>
              </w:rPr>
            </w:pPr>
            <w:r>
              <w:rPr>
                <w:rFonts w:cs="Arial"/>
                <w:szCs w:val="18"/>
              </w:rPr>
              <w:t>TimeSensitiveNetworking, EnhancedSubscriptionToNotification,</w:t>
            </w:r>
          </w:p>
          <w:p>
            <w:pPr>
              <w:pStyle w:val="102"/>
              <w:rPr>
                <w:rFonts w:cs="Arial"/>
                <w:szCs w:val="18"/>
              </w:rPr>
            </w:pPr>
            <w:r>
              <w:rPr>
                <w:rFonts w:cs="Arial"/>
                <w:szCs w:val="18"/>
              </w:rPr>
              <w:t xml:space="preserve">SimultConnectivity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pPr>
            <w:r>
              <w:t>DurationSecRm</w:t>
            </w:r>
          </w:p>
        </w:tc>
        <w:tc>
          <w:tcPr>
            <w:tcW w:w="1987" w:type="dxa"/>
            <w:noWrap w:val="0"/>
            <w:vAlign w:val="top"/>
          </w:tcPr>
          <w:p>
            <w:pPr>
              <w:pStyle w:val="102"/>
            </w:pPr>
            <w:r>
              <w:t>3GPP TS 29.571 [12]</w:t>
            </w:r>
          </w:p>
        </w:tc>
        <w:tc>
          <w:tcPr>
            <w:tcW w:w="3794" w:type="dxa"/>
            <w:noWrap w:val="0"/>
            <w:vAlign w:val="top"/>
          </w:tcPr>
          <w:p>
            <w:pPr>
              <w:pStyle w:val="102"/>
              <w:rPr>
                <w:rFonts w:cs="Arial"/>
                <w:szCs w:val="18"/>
              </w:rPr>
            </w:pPr>
            <w:r>
              <w:t>This data type is defined in the same way as the "DurationSec" data type, but with the OpenAPI "nullable: true" property.</w:t>
            </w:r>
          </w:p>
        </w:tc>
        <w:tc>
          <w:tcPr>
            <w:tcW w:w="1897" w:type="dxa"/>
            <w:noWrap w:val="0"/>
            <w:vAlign w:val="top"/>
          </w:tcPr>
          <w:p>
            <w:pPr>
              <w:pStyle w:val="102"/>
              <w:rPr>
                <w:rFonts w:cs="Arial"/>
                <w:szCs w:val="18"/>
              </w:rPr>
            </w:pPr>
            <w:r>
              <w:rPr>
                <w:rFonts w:cs="Arial"/>
                <w:szCs w:val="18"/>
              </w:rPr>
              <w:t xml:space="preserve">SimultConnectivity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pPr>
            <w:r>
              <w:t>EasIpReplacementInfo</w:t>
            </w:r>
          </w:p>
        </w:tc>
        <w:tc>
          <w:tcPr>
            <w:tcW w:w="1987" w:type="dxa"/>
            <w:noWrap w:val="0"/>
            <w:vAlign w:val="top"/>
          </w:tcPr>
          <w:p>
            <w:pPr>
              <w:pStyle w:val="102"/>
            </w:pPr>
            <w:r>
              <w:t>3GPP TS 29.571 [12]</w:t>
            </w:r>
          </w:p>
        </w:tc>
        <w:tc>
          <w:tcPr>
            <w:tcW w:w="3794" w:type="dxa"/>
            <w:noWrap w:val="0"/>
            <w:vAlign w:val="top"/>
          </w:tcPr>
          <w:p>
            <w:pPr>
              <w:pStyle w:val="102"/>
            </w:pPr>
            <w:r>
              <w:rPr>
                <w:rFonts w:cs="Arial"/>
                <w:szCs w:val="18"/>
                <w:lang w:eastAsia="zh-CN"/>
              </w:rPr>
              <w:t>Contains EAS IP replacement information for a Source and a Target EAS.</w:t>
            </w:r>
          </w:p>
        </w:tc>
        <w:tc>
          <w:tcPr>
            <w:tcW w:w="1897" w:type="dxa"/>
            <w:noWrap w:val="0"/>
            <w:vAlign w:val="top"/>
          </w:tcPr>
          <w:p>
            <w:pPr>
              <w:pStyle w:val="102"/>
              <w:rPr>
                <w:rFonts w:cs="Arial"/>
                <w:szCs w:val="18"/>
              </w:rPr>
            </w:pPr>
            <w:r>
              <w:rPr>
                <w:rFonts w:cs="Arial"/>
                <w:szCs w:val="18"/>
              </w:rPr>
              <w:t>EASIPreplacement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pPr>
            <w:r>
              <w:t>FinalUnitAction</w:t>
            </w:r>
          </w:p>
        </w:tc>
        <w:tc>
          <w:tcPr>
            <w:tcW w:w="1987" w:type="dxa"/>
            <w:noWrap w:val="0"/>
            <w:vAlign w:val="top"/>
          </w:tcPr>
          <w:p>
            <w:pPr>
              <w:pStyle w:val="102"/>
            </w:pPr>
            <w:r>
              <w:t>3GPP TS 32.291 [22]</w:t>
            </w:r>
          </w:p>
        </w:tc>
        <w:tc>
          <w:tcPr>
            <w:tcW w:w="3794" w:type="dxa"/>
            <w:noWrap w:val="0"/>
            <w:vAlign w:val="top"/>
          </w:tcPr>
          <w:p>
            <w:pPr>
              <w:pStyle w:val="102"/>
              <w:rPr>
                <w:rFonts w:cs="Arial"/>
                <w:szCs w:val="18"/>
              </w:rPr>
            </w:pPr>
            <w:r>
              <w:rPr>
                <w:lang w:eastAsia="zh-CN"/>
              </w:rPr>
              <w:t>Indicates the action to be taken when the user's account cannot cover the service cost.</w:t>
            </w:r>
          </w:p>
        </w:tc>
        <w:tc>
          <w:tcPr>
            <w:tcW w:w="1897"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pPr>
            <w:r>
              <w:t>Float</w:t>
            </w:r>
          </w:p>
        </w:tc>
        <w:tc>
          <w:tcPr>
            <w:tcW w:w="1987" w:type="dxa"/>
            <w:noWrap w:val="0"/>
            <w:vAlign w:val="top"/>
          </w:tcPr>
          <w:p>
            <w:pPr>
              <w:pStyle w:val="102"/>
            </w:pPr>
            <w:r>
              <w:rPr>
                <w:rFonts w:cs="Arial"/>
              </w:rPr>
              <w:t>3GPP TS 29.571 [12]</w:t>
            </w:r>
          </w:p>
        </w:tc>
        <w:tc>
          <w:tcPr>
            <w:tcW w:w="3794" w:type="dxa"/>
            <w:noWrap w:val="0"/>
            <w:vAlign w:val="top"/>
          </w:tcPr>
          <w:p>
            <w:pPr>
              <w:pStyle w:val="102"/>
              <w:rPr>
                <w:rFonts w:cs="Arial"/>
                <w:szCs w:val="18"/>
              </w:rPr>
            </w:pPr>
            <w:r>
              <w:t>Number with format "float" as defined in OpenAPI Specification [11].</w:t>
            </w:r>
          </w:p>
        </w:tc>
        <w:tc>
          <w:tcPr>
            <w:tcW w:w="1897" w:type="dxa"/>
            <w:noWrap w:val="0"/>
            <w:vAlign w:val="top"/>
          </w:tcPr>
          <w:p>
            <w:pPr>
              <w:pStyle w:val="102"/>
              <w:rPr>
                <w:rFonts w:cs="Arial"/>
                <w:szCs w:val="18"/>
              </w:rPr>
            </w:pPr>
            <w:r>
              <w:rPr>
                <w:rFonts w:cs="Arial"/>
                <w:szCs w:val="18"/>
              </w:rPr>
              <w:t>FLUS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pPr>
            <w:r>
              <w:t>FloatRm</w:t>
            </w:r>
          </w:p>
        </w:tc>
        <w:tc>
          <w:tcPr>
            <w:tcW w:w="1987" w:type="dxa"/>
            <w:noWrap w:val="0"/>
            <w:vAlign w:val="top"/>
          </w:tcPr>
          <w:p>
            <w:pPr>
              <w:pStyle w:val="102"/>
            </w:pPr>
            <w:r>
              <w:rPr>
                <w:rFonts w:cs="Arial"/>
              </w:rPr>
              <w:t>3GPP TS 29.571 [12]</w:t>
            </w:r>
          </w:p>
        </w:tc>
        <w:tc>
          <w:tcPr>
            <w:tcW w:w="3794" w:type="dxa"/>
            <w:noWrap w:val="0"/>
            <w:vAlign w:val="top"/>
          </w:tcPr>
          <w:p>
            <w:pPr>
              <w:pStyle w:val="102"/>
              <w:rPr>
                <w:rFonts w:cs="Arial"/>
                <w:szCs w:val="18"/>
              </w:rPr>
            </w:pPr>
            <w:r>
              <w:t>This data type is defined in the same way as the "Float" data type, but with the OpenAPI "nullable: true" property.</w:t>
            </w:r>
          </w:p>
        </w:tc>
        <w:tc>
          <w:tcPr>
            <w:tcW w:w="1897" w:type="dxa"/>
            <w:noWrap w:val="0"/>
            <w:vAlign w:val="top"/>
          </w:tcPr>
          <w:p>
            <w:pPr>
              <w:pStyle w:val="102"/>
              <w:rPr>
                <w:rFonts w:cs="Arial"/>
                <w:szCs w:val="18"/>
              </w:rPr>
            </w:pPr>
            <w:r>
              <w:rPr>
                <w:rFonts w:cs="Arial"/>
                <w:szCs w:val="18"/>
              </w:rPr>
              <w:t>FLUS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pPr>
            <w:r>
              <w:t>FlowDirection</w:t>
            </w:r>
          </w:p>
        </w:tc>
        <w:tc>
          <w:tcPr>
            <w:tcW w:w="1987" w:type="dxa"/>
            <w:noWrap w:val="0"/>
            <w:vAlign w:val="top"/>
          </w:tcPr>
          <w:p>
            <w:pPr>
              <w:pStyle w:val="102"/>
            </w:pPr>
            <w:r>
              <w:t>3GPP TS 29.512 [8]</w:t>
            </w:r>
          </w:p>
        </w:tc>
        <w:tc>
          <w:tcPr>
            <w:tcW w:w="3794" w:type="dxa"/>
            <w:noWrap w:val="0"/>
            <w:vAlign w:val="top"/>
          </w:tcPr>
          <w:p>
            <w:pPr>
              <w:pStyle w:val="102"/>
              <w:rPr>
                <w:rFonts w:cs="Arial"/>
                <w:szCs w:val="18"/>
              </w:rPr>
            </w:pPr>
            <w:r>
              <w:rPr>
                <w:rFonts w:cs="Arial"/>
                <w:szCs w:val="18"/>
              </w:rPr>
              <w:t>Flow Direction.</w:t>
            </w:r>
          </w:p>
        </w:tc>
        <w:tc>
          <w:tcPr>
            <w:tcW w:w="1897"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pPr>
            <w:r>
              <w:rPr>
                <w:lang w:eastAsia="fr-FR"/>
              </w:rPr>
              <w:t>Fqdn</w:t>
            </w:r>
          </w:p>
        </w:tc>
        <w:tc>
          <w:tcPr>
            <w:tcW w:w="1987" w:type="dxa"/>
            <w:noWrap w:val="0"/>
            <w:vAlign w:val="top"/>
          </w:tcPr>
          <w:p>
            <w:pPr>
              <w:pStyle w:val="102"/>
            </w:pPr>
            <w:r>
              <w:rPr>
                <w:rFonts w:cs="Arial"/>
              </w:rPr>
              <w:t>3GPP TS 29.571 [12]</w:t>
            </w:r>
          </w:p>
        </w:tc>
        <w:tc>
          <w:tcPr>
            <w:tcW w:w="3794" w:type="dxa"/>
            <w:noWrap w:val="0"/>
            <w:vAlign w:val="top"/>
          </w:tcPr>
          <w:p>
            <w:pPr>
              <w:pStyle w:val="102"/>
              <w:rPr>
                <w:rFonts w:cs="Arial"/>
                <w:szCs w:val="18"/>
              </w:rPr>
            </w:pPr>
            <w:r>
              <w:rPr>
                <w:rFonts w:cs="Arial"/>
                <w:szCs w:val="18"/>
                <w:lang w:eastAsia="fr-FR"/>
              </w:rPr>
              <w:t>Contains a FQDN</w:t>
            </w:r>
          </w:p>
        </w:tc>
        <w:tc>
          <w:tcPr>
            <w:tcW w:w="1897"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pPr>
            <w:r>
              <w:t>ExtMaxDataBurstVol</w:t>
            </w:r>
          </w:p>
        </w:tc>
        <w:tc>
          <w:tcPr>
            <w:tcW w:w="1987" w:type="dxa"/>
            <w:noWrap w:val="0"/>
            <w:vAlign w:val="top"/>
          </w:tcPr>
          <w:p>
            <w:pPr>
              <w:pStyle w:val="102"/>
            </w:pPr>
            <w:r>
              <w:t>3GPP TS 29.571 [12]</w:t>
            </w:r>
          </w:p>
        </w:tc>
        <w:tc>
          <w:tcPr>
            <w:tcW w:w="3794" w:type="dxa"/>
            <w:noWrap w:val="0"/>
            <w:vAlign w:val="top"/>
          </w:tcPr>
          <w:p>
            <w:pPr>
              <w:pStyle w:val="102"/>
              <w:rPr>
                <w:rFonts w:cs="Arial"/>
                <w:szCs w:val="18"/>
              </w:rPr>
            </w:pPr>
            <w:r>
              <w:rPr>
                <w:rFonts w:cs="Arial"/>
                <w:szCs w:val="18"/>
              </w:rPr>
              <w:t>Maximum Burst Size.</w:t>
            </w:r>
          </w:p>
        </w:tc>
        <w:tc>
          <w:tcPr>
            <w:tcW w:w="1897" w:type="dxa"/>
            <w:noWrap w:val="0"/>
            <w:vAlign w:val="top"/>
          </w:tcPr>
          <w:p>
            <w:pPr>
              <w:pStyle w:val="102"/>
              <w:rPr>
                <w:rFonts w:cs="Arial"/>
                <w:szCs w:val="18"/>
              </w:rPr>
            </w:pPr>
            <w:r>
              <w:rPr>
                <w:rFonts w:cs="Arial"/>
                <w:szCs w:val="18"/>
              </w:rP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pPr>
            <w:r>
              <w:t>ExtMaxDataBurstVolRm</w:t>
            </w:r>
          </w:p>
        </w:tc>
        <w:tc>
          <w:tcPr>
            <w:tcW w:w="1987" w:type="dxa"/>
            <w:noWrap w:val="0"/>
            <w:vAlign w:val="top"/>
          </w:tcPr>
          <w:p>
            <w:pPr>
              <w:pStyle w:val="102"/>
            </w:pPr>
            <w:r>
              <w:t>3GPP TS 29.571 [12]</w:t>
            </w:r>
          </w:p>
        </w:tc>
        <w:tc>
          <w:tcPr>
            <w:tcW w:w="3794" w:type="dxa"/>
            <w:noWrap w:val="0"/>
            <w:vAlign w:val="top"/>
          </w:tcPr>
          <w:p>
            <w:pPr>
              <w:pStyle w:val="102"/>
              <w:rPr>
                <w:rFonts w:cs="Arial"/>
                <w:szCs w:val="18"/>
              </w:rPr>
            </w:pPr>
            <w:r>
              <w:t>This data type is defined in the same way as the "ExtMaxDataBurstVol" data type, but with the OpenAPI "nullable: true" property</w:t>
            </w:r>
          </w:p>
        </w:tc>
        <w:tc>
          <w:tcPr>
            <w:tcW w:w="1897" w:type="dxa"/>
            <w:noWrap w:val="0"/>
            <w:vAlign w:val="top"/>
          </w:tcPr>
          <w:p>
            <w:pPr>
              <w:pStyle w:val="102"/>
              <w:rPr>
                <w:rFonts w:cs="Arial"/>
                <w:szCs w:val="18"/>
              </w:rPr>
            </w:pPr>
            <w:r>
              <w:rPr>
                <w:rFonts w:cs="Arial"/>
                <w:szCs w:val="18"/>
              </w:rP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pPr>
            <w:r>
              <w:t>Gpsi</w:t>
            </w:r>
          </w:p>
        </w:tc>
        <w:tc>
          <w:tcPr>
            <w:tcW w:w="1987" w:type="dxa"/>
            <w:noWrap w:val="0"/>
            <w:vAlign w:val="top"/>
          </w:tcPr>
          <w:p>
            <w:pPr>
              <w:pStyle w:val="102"/>
            </w:pPr>
            <w:r>
              <w:t>3GPP TS 29.571 [12]</w:t>
            </w:r>
          </w:p>
        </w:tc>
        <w:tc>
          <w:tcPr>
            <w:tcW w:w="3794" w:type="dxa"/>
            <w:noWrap w:val="0"/>
            <w:vAlign w:val="top"/>
          </w:tcPr>
          <w:p>
            <w:pPr>
              <w:pStyle w:val="102"/>
              <w:rPr>
                <w:rFonts w:cs="Arial"/>
                <w:szCs w:val="18"/>
              </w:rPr>
            </w:pPr>
            <w:r>
              <w:rPr>
                <w:rFonts w:cs="Arial"/>
                <w:szCs w:val="18"/>
                <w:lang w:eastAsia="zh-CN"/>
              </w:rPr>
              <w:t>Identifies the GPSI.</w:t>
            </w:r>
          </w:p>
        </w:tc>
        <w:tc>
          <w:tcPr>
            <w:tcW w:w="1897"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rPr>
                <w:lang w:eastAsia="zh-CN"/>
              </w:rPr>
            </w:pPr>
            <w:r>
              <w:t>Ipv4Addr</w:t>
            </w:r>
          </w:p>
        </w:tc>
        <w:tc>
          <w:tcPr>
            <w:tcW w:w="1987" w:type="dxa"/>
            <w:noWrap w:val="0"/>
            <w:vAlign w:val="top"/>
          </w:tcPr>
          <w:p>
            <w:pPr>
              <w:pStyle w:val="102"/>
            </w:pPr>
            <w:r>
              <w:t>3GPP TS 29.571 [12]</w:t>
            </w:r>
          </w:p>
        </w:tc>
        <w:tc>
          <w:tcPr>
            <w:tcW w:w="3794" w:type="dxa"/>
            <w:noWrap w:val="0"/>
            <w:vAlign w:val="top"/>
          </w:tcPr>
          <w:p>
            <w:pPr>
              <w:pStyle w:val="102"/>
              <w:rPr>
                <w:rFonts w:cs="Arial"/>
                <w:szCs w:val="18"/>
              </w:rPr>
            </w:pPr>
            <w:r>
              <w:rPr>
                <w:rFonts w:cs="Arial"/>
                <w:szCs w:val="18"/>
              </w:rPr>
              <w:t>Identifies an IPv4 address.</w:t>
            </w:r>
          </w:p>
        </w:tc>
        <w:tc>
          <w:tcPr>
            <w:tcW w:w="1897"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pPr>
            <w:r>
              <w:t>Ipv4AddrMask</w:t>
            </w:r>
          </w:p>
        </w:tc>
        <w:tc>
          <w:tcPr>
            <w:tcW w:w="1987" w:type="dxa"/>
            <w:noWrap w:val="0"/>
            <w:vAlign w:val="top"/>
          </w:tcPr>
          <w:p>
            <w:pPr>
              <w:pStyle w:val="102"/>
            </w:pPr>
            <w:r>
              <w:t>3GPP TS 29.571 [12]</w:t>
            </w:r>
          </w:p>
        </w:tc>
        <w:tc>
          <w:tcPr>
            <w:tcW w:w="3794" w:type="dxa"/>
            <w:noWrap w:val="0"/>
            <w:vAlign w:val="top"/>
          </w:tcPr>
          <w:p>
            <w:pPr>
              <w:pStyle w:val="102"/>
              <w:rPr>
                <w:rFonts w:cs="Arial"/>
                <w:szCs w:val="18"/>
              </w:rPr>
            </w:pPr>
            <w:r>
              <w:rPr>
                <w:rFonts w:cs="Arial"/>
                <w:szCs w:val="18"/>
              </w:rPr>
              <w:t>IPv4 address mask</w:t>
            </w:r>
          </w:p>
        </w:tc>
        <w:tc>
          <w:tcPr>
            <w:tcW w:w="1897" w:type="dxa"/>
            <w:noWrap w:val="0"/>
            <w:vAlign w:val="top"/>
          </w:tcPr>
          <w:p>
            <w:pPr>
              <w:pStyle w:val="102"/>
              <w:rPr>
                <w:rFonts w:cs="Arial"/>
                <w:szCs w:val="18"/>
              </w:rPr>
            </w:pPr>
            <w:r>
              <w:t>ExtraUEaddrReport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rPr>
                <w:lang w:eastAsia="zh-CN"/>
              </w:rPr>
            </w:pPr>
            <w:r>
              <w:t>Ipv6Addr</w:t>
            </w:r>
          </w:p>
        </w:tc>
        <w:tc>
          <w:tcPr>
            <w:tcW w:w="1987" w:type="dxa"/>
            <w:noWrap w:val="0"/>
            <w:vAlign w:val="top"/>
          </w:tcPr>
          <w:p>
            <w:pPr>
              <w:pStyle w:val="102"/>
            </w:pPr>
            <w:r>
              <w:t>3GPP TS 29.571 [12]</w:t>
            </w:r>
          </w:p>
        </w:tc>
        <w:tc>
          <w:tcPr>
            <w:tcW w:w="3794" w:type="dxa"/>
            <w:noWrap w:val="0"/>
            <w:vAlign w:val="top"/>
          </w:tcPr>
          <w:p>
            <w:pPr>
              <w:pStyle w:val="102"/>
              <w:rPr>
                <w:rFonts w:cs="Arial"/>
                <w:szCs w:val="18"/>
              </w:rPr>
            </w:pPr>
            <w:r>
              <w:rPr>
                <w:rFonts w:cs="Arial"/>
                <w:szCs w:val="18"/>
              </w:rPr>
              <w:t>Identifies an IPv6 address.</w:t>
            </w:r>
          </w:p>
        </w:tc>
        <w:tc>
          <w:tcPr>
            <w:tcW w:w="1897"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pPr>
            <w:r>
              <w:rPr>
                <w:lang w:eastAsia="fr-FR"/>
              </w:rPr>
              <w:t>IpEndPoint</w:t>
            </w:r>
          </w:p>
        </w:tc>
        <w:tc>
          <w:tcPr>
            <w:tcW w:w="1987" w:type="dxa"/>
            <w:noWrap w:val="0"/>
            <w:vAlign w:val="top"/>
          </w:tcPr>
          <w:p>
            <w:pPr>
              <w:pStyle w:val="102"/>
            </w:pPr>
            <w:r>
              <w:rPr>
                <w:lang w:eastAsia="fr-FR"/>
              </w:rPr>
              <w:t>3GPP TS 29.510 [27]</w:t>
            </w:r>
          </w:p>
        </w:tc>
        <w:tc>
          <w:tcPr>
            <w:tcW w:w="3794" w:type="dxa"/>
            <w:noWrap w:val="0"/>
            <w:vAlign w:val="top"/>
          </w:tcPr>
          <w:p>
            <w:pPr>
              <w:pStyle w:val="102"/>
              <w:rPr>
                <w:rFonts w:cs="Arial"/>
                <w:szCs w:val="18"/>
              </w:rPr>
            </w:pPr>
            <w:r>
              <w:rPr>
                <w:rFonts w:cs="Arial"/>
                <w:szCs w:val="18"/>
                <w:lang w:eastAsia="fr-FR"/>
              </w:rPr>
              <w:t>Contains a NF IPv4 and/or IPv6 end points.</w:t>
            </w:r>
          </w:p>
        </w:tc>
        <w:tc>
          <w:tcPr>
            <w:tcW w:w="1897"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pPr>
            <w:r>
              <w:t>MacAddr48</w:t>
            </w:r>
          </w:p>
        </w:tc>
        <w:tc>
          <w:tcPr>
            <w:tcW w:w="1987" w:type="dxa"/>
            <w:noWrap w:val="0"/>
            <w:vAlign w:val="top"/>
          </w:tcPr>
          <w:p>
            <w:pPr>
              <w:pStyle w:val="102"/>
            </w:pPr>
            <w:r>
              <w:t>3GPP TS 29.571 [12]</w:t>
            </w:r>
          </w:p>
        </w:tc>
        <w:tc>
          <w:tcPr>
            <w:tcW w:w="3794" w:type="dxa"/>
            <w:noWrap w:val="0"/>
            <w:vAlign w:val="top"/>
          </w:tcPr>
          <w:p>
            <w:pPr>
              <w:pStyle w:val="102"/>
              <w:rPr>
                <w:rFonts w:cs="Arial"/>
                <w:szCs w:val="18"/>
              </w:rPr>
            </w:pPr>
            <w:r>
              <w:rPr>
                <w:rFonts w:cs="Arial"/>
                <w:szCs w:val="18"/>
              </w:rPr>
              <w:t>MAC Address.</w:t>
            </w:r>
          </w:p>
        </w:tc>
        <w:tc>
          <w:tcPr>
            <w:tcW w:w="1897"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pPr>
            <w:r>
              <w:t>Metadata</w:t>
            </w:r>
          </w:p>
        </w:tc>
        <w:tc>
          <w:tcPr>
            <w:tcW w:w="1987" w:type="dxa"/>
            <w:noWrap w:val="0"/>
            <w:vAlign w:val="top"/>
          </w:tcPr>
          <w:p>
            <w:pPr>
              <w:pStyle w:val="102"/>
            </w:pPr>
            <w:r>
              <w:t>3GPP TS 29.571 [12]</w:t>
            </w:r>
          </w:p>
        </w:tc>
        <w:tc>
          <w:tcPr>
            <w:tcW w:w="3794" w:type="dxa"/>
            <w:noWrap w:val="0"/>
            <w:vAlign w:val="top"/>
          </w:tcPr>
          <w:p>
            <w:pPr>
              <w:pStyle w:val="102"/>
              <w:rPr>
                <w:rFonts w:cs="Arial"/>
                <w:szCs w:val="18"/>
              </w:rPr>
            </w:pPr>
            <w:r>
              <w:t>This datatype contains opaque information for the service functions in the N6-LAN that is provided by AF and transparently sent to UPF.</w:t>
            </w:r>
          </w:p>
        </w:tc>
        <w:tc>
          <w:tcPr>
            <w:tcW w:w="1897" w:type="dxa"/>
            <w:noWrap w:val="0"/>
            <w:vAlign w:val="top"/>
          </w:tcPr>
          <w:p>
            <w:pPr>
              <w:pStyle w:val="102"/>
              <w:rPr>
                <w:rFonts w:cs="Arial"/>
                <w:szCs w:val="18"/>
              </w:rPr>
            </w:pPr>
            <w:r>
              <w:t>SFC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pPr>
            <w:r>
              <w:t>NetLocAccessSupport</w:t>
            </w:r>
          </w:p>
        </w:tc>
        <w:tc>
          <w:tcPr>
            <w:tcW w:w="1987" w:type="dxa"/>
            <w:noWrap w:val="0"/>
            <w:vAlign w:val="top"/>
          </w:tcPr>
          <w:p>
            <w:pPr>
              <w:pStyle w:val="102"/>
            </w:pPr>
            <w:r>
              <w:t>3GPP TS 29.512 [8]</w:t>
            </w:r>
          </w:p>
        </w:tc>
        <w:tc>
          <w:tcPr>
            <w:tcW w:w="3794" w:type="dxa"/>
            <w:noWrap w:val="0"/>
            <w:vAlign w:val="top"/>
          </w:tcPr>
          <w:p>
            <w:pPr>
              <w:pStyle w:val="102"/>
              <w:rPr>
                <w:rFonts w:cs="Arial"/>
                <w:szCs w:val="18"/>
              </w:rPr>
            </w:pPr>
            <w:r>
              <w:rPr>
                <w:rFonts w:cs="Arial"/>
                <w:szCs w:val="18"/>
              </w:rPr>
              <w:t>Indicates the access network does not support the report of the requested access network information.</w:t>
            </w:r>
          </w:p>
        </w:tc>
        <w:tc>
          <w:tcPr>
            <w:tcW w:w="1897" w:type="dxa"/>
            <w:noWrap w:val="0"/>
            <w:vAlign w:val="top"/>
          </w:tcPr>
          <w:p>
            <w:pPr>
              <w:pStyle w:val="102"/>
              <w:rPr>
                <w:rFonts w:cs="Arial"/>
                <w:szCs w:val="18"/>
              </w:rPr>
            </w:pPr>
            <w:r>
              <w:rPr>
                <w:rFonts w:cs="Arial"/>
                <w:szCs w:val="18"/>
              </w:rPr>
              <w:t>NetLoc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pPr>
            <w:r>
              <w:rPr>
                <w:lang w:eastAsia="zh-CN"/>
              </w:rPr>
              <w:t>NullValue</w:t>
            </w:r>
          </w:p>
        </w:tc>
        <w:tc>
          <w:tcPr>
            <w:tcW w:w="1987" w:type="dxa"/>
            <w:noWrap w:val="0"/>
            <w:vAlign w:val="top"/>
          </w:tcPr>
          <w:p>
            <w:pPr>
              <w:pStyle w:val="102"/>
            </w:pPr>
            <w:r>
              <w:rPr>
                <w:rFonts w:cs="Arial"/>
                <w:szCs w:val="18"/>
              </w:rPr>
              <w:t>3GPP TS 29.571 [12]</w:t>
            </w:r>
          </w:p>
        </w:tc>
        <w:tc>
          <w:tcPr>
            <w:tcW w:w="3794" w:type="dxa"/>
            <w:noWrap w:val="0"/>
            <w:vAlign w:val="top"/>
          </w:tcPr>
          <w:p>
            <w:pPr>
              <w:pStyle w:val="102"/>
              <w:rPr>
                <w:rFonts w:cs="Arial"/>
                <w:szCs w:val="18"/>
              </w:rPr>
            </w:pPr>
            <w:r>
              <w:rPr>
                <w:lang w:eastAsia="zh-CN"/>
              </w:rPr>
              <w:t xml:space="preserve">JSON's null value, used </w:t>
            </w:r>
            <w:r>
              <w:t>as an explicit value of an enumeration.</w:t>
            </w:r>
          </w:p>
        </w:tc>
        <w:tc>
          <w:tcPr>
            <w:tcW w:w="1897" w:type="dxa"/>
            <w:noWrap w:val="0"/>
            <w:vAlign w:val="top"/>
          </w:tcPr>
          <w:p>
            <w:pPr>
              <w:pStyle w:val="102"/>
              <w:rPr>
                <w:rFonts w:cs="Arial"/>
                <w:szCs w:val="18"/>
              </w:rPr>
            </w:pPr>
            <w:r>
              <w:rPr>
                <w:rFonts w:cs="Arial"/>
                <w:szCs w:val="18"/>
              </w:rPr>
              <w:t>MCPTT-Preemption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pPr>
            <w:r>
              <w:t>PacketDelBudget</w:t>
            </w:r>
          </w:p>
        </w:tc>
        <w:tc>
          <w:tcPr>
            <w:tcW w:w="1987" w:type="dxa"/>
            <w:noWrap w:val="0"/>
            <w:vAlign w:val="top"/>
          </w:tcPr>
          <w:p>
            <w:pPr>
              <w:pStyle w:val="102"/>
            </w:pPr>
            <w:r>
              <w:t>3GPP TS 29.571 [12]</w:t>
            </w:r>
          </w:p>
        </w:tc>
        <w:tc>
          <w:tcPr>
            <w:tcW w:w="3794" w:type="dxa"/>
            <w:noWrap w:val="0"/>
            <w:vAlign w:val="top"/>
          </w:tcPr>
          <w:p>
            <w:pPr>
              <w:pStyle w:val="102"/>
              <w:rPr>
                <w:rFonts w:cs="Arial"/>
                <w:szCs w:val="18"/>
              </w:rPr>
            </w:pPr>
            <w:r>
              <w:rPr>
                <w:rFonts w:cs="Arial"/>
                <w:szCs w:val="18"/>
              </w:rPr>
              <w:t>Packet Delay Budget.</w:t>
            </w:r>
          </w:p>
        </w:tc>
        <w:tc>
          <w:tcPr>
            <w:tcW w:w="1897" w:type="dxa"/>
            <w:noWrap w:val="0"/>
            <w:vAlign w:val="top"/>
          </w:tcPr>
          <w:p>
            <w:pPr>
              <w:pStyle w:val="102"/>
              <w:rPr>
                <w:rFonts w:cs="Arial"/>
                <w:szCs w:val="18"/>
              </w:rPr>
            </w:pPr>
            <w:r>
              <w:rPr>
                <w:rFonts w:cs="Arial"/>
                <w:szCs w:val="18"/>
              </w:rP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pPr>
            <w:r>
              <w:t>PacketDelBudgetRm</w:t>
            </w:r>
          </w:p>
        </w:tc>
        <w:tc>
          <w:tcPr>
            <w:tcW w:w="1987" w:type="dxa"/>
            <w:noWrap w:val="0"/>
            <w:vAlign w:val="top"/>
          </w:tcPr>
          <w:p>
            <w:pPr>
              <w:pStyle w:val="102"/>
            </w:pPr>
            <w:r>
              <w:t>3GPP TS 29.571 [12]</w:t>
            </w:r>
          </w:p>
        </w:tc>
        <w:tc>
          <w:tcPr>
            <w:tcW w:w="3794" w:type="dxa"/>
            <w:noWrap w:val="0"/>
            <w:vAlign w:val="top"/>
          </w:tcPr>
          <w:p>
            <w:pPr>
              <w:pStyle w:val="102"/>
              <w:rPr>
                <w:rFonts w:cs="Arial"/>
                <w:szCs w:val="18"/>
              </w:rPr>
            </w:pPr>
            <w:r>
              <w:t>This data type is defined in the same way as the "PacketDelBudget" data type, but with the OpenAPI "nullable: true" property</w:t>
            </w:r>
          </w:p>
        </w:tc>
        <w:tc>
          <w:tcPr>
            <w:tcW w:w="1897" w:type="dxa"/>
            <w:noWrap w:val="0"/>
            <w:vAlign w:val="top"/>
          </w:tcPr>
          <w:p>
            <w:pPr>
              <w:pStyle w:val="102"/>
              <w:rPr>
                <w:rFonts w:cs="Arial"/>
                <w:szCs w:val="18"/>
              </w:rPr>
            </w:pPr>
            <w:r>
              <w:rPr>
                <w:rFonts w:cs="Arial"/>
                <w:szCs w:val="18"/>
              </w:rP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pPr>
            <w:r>
              <w:t>PacketErrRate</w:t>
            </w:r>
          </w:p>
        </w:tc>
        <w:tc>
          <w:tcPr>
            <w:tcW w:w="1987" w:type="dxa"/>
            <w:noWrap w:val="0"/>
            <w:vAlign w:val="top"/>
          </w:tcPr>
          <w:p>
            <w:pPr>
              <w:pStyle w:val="102"/>
            </w:pPr>
            <w:r>
              <w:t>3GPP TS 29.571 [12]</w:t>
            </w:r>
          </w:p>
        </w:tc>
        <w:tc>
          <w:tcPr>
            <w:tcW w:w="3794" w:type="dxa"/>
            <w:noWrap w:val="0"/>
            <w:vAlign w:val="top"/>
          </w:tcPr>
          <w:p>
            <w:pPr>
              <w:pStyle w:val="102"/>
            </w:pPr>
            <w:r>
              <w:rPr>
                <w:lang w:eastAsia="zh-CN"/>
              </w:rPr>
              <w:t xml:space="preserve">String representing Packet Error Rate </w:t>
            </w:r>
            <w:r>
              <w:t xml:space="preserve">(see clauses 5.7.3.5 and 5.7.4 of 3GPP TS 23.501 [8]), </w:t>
            </w:r>
            <w:r>
              <w:rPr>
                <w:rFonts w:cs="Arial"/>
                <w:szCs w:val="18"/>
              </w:rPr>
              <w:t xml:space="preserve">expressed as </w:t>
            </w:r>
            <w:r>
              <w:rPr>
                <w:szCs w:val="22"/>
              </w:rPr>
              <w:t>a "</w:t>
            </w:r>
            <w:r>
              <w:rPr>
                <w:i/>
                <w:szCs w:val="22"/>
              </w:rPr>
              <w:t>scalar</w:t>
            </w:r>
            <w:r>
              <w:rPr>
                <w:szCs w:val="22"/>
              </w:rPr>
              <w:t xml:space="preserve"> x 10-k" where the scalar and the </w:t>
            </w:r>
            <w:r>
              <w:rPr>
                <w:i/>
                <w:szCs w:val="22"/>
              </w:rPr>
              <w:t>exponent k are each encoded as one decimal digit</w:t>
            </w:r>
            <w:r>
              <w:t>.</w:t>
            </w:r>
          </w:p>
          <w:p>
            <w:pPr>
              <w:pStyle w:val="102"/>
            </w:pPr>
            <w:r>
              <w:t>Pattern: '^([0-9]E-[0-9])$'</w:t>
            </w:r>
          </w:p>
          <w:p>
            <w:pPr>
              <w:pStyle w:val="102"/>
            </w:pPr>
          </w:p>
          <w:p>
            <w:pPr>
              <w:pStyle w:val="102"/>
              <w:rPr>
                <w:lang w:eastAsia="zh-CN"/>
              </w:rPr>
            </w:pPr>
            <w:r>
              <w:rPr>
                <w:lang w:eastAsia="zh-CN"/>
              </w:rPr>
              <w:t>Examples:</w:t>
            </w:r>
          </w:p>
          <w:p>
            <w:pPr>
              <w:pStyle w:val="102"/>
              <w:rPr>
                <w:lang w:eastAsia="zh-CN"/>
              </w:rPr>
            </w:pPr>
            <w:r>
              <w:rPr>
                <w:lang w:eastAsia="zh-CN"/>
              </w:rPr>
              <w:t>Packer Error Rate 4x10</w:t>
            </w:r>
            <w:r>
              <w:rPr>
                <w:vertAlign w:val="superscript"/>
                <w:lang w:eastAsia="zh-CN"/>
              </w:rPr>
              <w:t xml:space="preserve">-6 </w:t>
            </w:r>
            <w:r>
              <w:rPr>
                <w:lang w:eastAsia="zh-CN"/>
              </w:rPr>
              <w:t>shall be encoded as "4E-6".</w:t>
            </w:r>
          </w:p>
          <w:p>
            <w:pPr>
              <w:pStyle w:val="102"/>
            </w:pPr>
            <w:r>
              <w:rPr>
                <w:lang w:eastAsia="zh-CN"/>
              </w:rPr>
              <w:t>Packer Error Rate 10</w:t>
            </w:r>
            <w:r>
              <w:rPr>
                <w:vertAlign w:val="superscript"/>
                <w:lang w:eastAsia="zh-CN"/>
              </w:rPr>
              <w:t xml:space="preserve">-2 </w:t>
            </w:r>
            <w:r>
              <w:rPr>
                <w:lang w:eastAsia="zh-CN"/>
              </w:rPr>
              <w:t>shall be encoded as "1E-2".</w:t>
            </w:r>
          </w:p>
        </w:tc>
        <w:tc>
          <w:tcPr>
            <w:tcW w:w="1897" w:type="dxa"/>
            <w:noWrap w:val="0"/>
            <w:vAlign w:val="top"/>
          </w:tcPr>
          <w:p>
            <w:pPr>
              <w:pStyle w:val="102"/>
              <w:rPr>
                <w:rFonts w:cs="Arial"/>
                <w:szCs w:val="18"/>
              </w:rPr>
            </w:pPr>
            <w:r>
              <w:t>ExtQoS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pPr>
            <w:r>
              <w:t>PacketErrRateRm</w:t>
            </w:r>
          </w:p>
        </w:tc>
        <w:tc>
          <w:tcPr>
            <w:tcW w:w="1987" w:type="dxa"/>
            <w:noWrap w:val="0"/>
            <w:vAlign w:val="top"/>
          </w:tcPr>
          <w:p>
            <w:pPr>
              <w:pStyle w:val="102"/>
            </w:pPr>
            <w:r>
              <w:t>3GPP TS 29.571 [12]</w:t>
            </w:r>
          </w:p>
        </w:tc>
        <w:tc>
          <w:tcPr>
            <w:tcW w:w="3794" w:type="dxa"/>
            <w:noWrap w:val="0"/>
            <w:vAlign w:val="top"/>
          </w:tcPr>
          <w:p>
            <w:pPr>
              <w:pStyle w:val="102"/>
            </w:pPr>
            <w:r>
              <w:t>This data type is defined in the same way as the "PacketErrRate" data type, but with the OpenAPI "nullable: true" property.</w:t>
            </w:r>
          </w:p>
        </w:tc>
        <w:tc>
          <w:tcPr>
            <w:tcW w:w="1897" w:type="dxa"/>
            <w:noWrap w:val="0"/>
            <w:vAlign w:val="top"/>
          </w:tcPr>
          <w:p>
            <w:pPr>
              <w:pStyle w:val="102"/>
              <w:rPr>
                <w:rFonts w:cs="Arial"/>
                <w:szCs w:val="18"/>
              </w:rPr>
            </w:pPr>
            <w:r>
              <w:t>ExtQoS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pPr>
            <w:r>
              <w:rPr>
                <w:rFonts w:cs="Arial"/>
                <w:szCs w:val="18"/>
              </w:rPr>
              <w:t>PacketLossRateRm</w:t>
            </w:r>
          </w:p>
        </w:tc>
        <w:tc>
          <w:tcPr>
            <w:tcW w:w="1987" w:type="dxa"/>
            <w:noWrap w:val="0"/>
            <w:vAlign w:val="top"/>
          </w:tcPr>
          <w:p>
            <w:pPr>
              <w:pStyle w:val="102"/>
            </w:pPr>
            <w:r>
              <w:rPr>
                <w:rFonts w:cs="Arial"/>
                <w:szCs w:val="18"/>
              </w:rPr>
              <w:t>3GPP TS 29.571 [12]</w:t>
            </w:r>
          </w:p>
        </w:tc>
        <w:tc>
          <w:tcPr>
            <w:tcW w:w="3794" w:type="dxa"/>
            <w:noWrap w:val="0"/>
            <w:vAlign w:val="top"/>
          </w:tcPr>
          <w:p>
            <w:pPr>
              <w:pStyle w:val="102"/>
              <w:rPr>
                <w:rFonts w:cs="Arial"/>
                <w:szCs w:val="18"/>
              </w:rPr>
            </w:pPr>
            <w:r>
              <w:rPr>
                <w:rFonts w:cs="Arial"/>
                <w:szCs w:val="18"/>
              </w:rPr>
              <w:t>This data type is defined in the same way as the "PacketLossRate" data type, but with the OpenAPI "nullable: true" property.</w:t>
            </w:r>
          </w:p>
        </w:tc>
        <w:tc>
          <w:tcPr>
            <w:tcW w:w="1897" w:type="dxa"/>
            <w:noWrap w:val="0"/>
            <w:vAlign w:val="top"/>
          </w:tcPr>
          <w:p>
            <w:pPr>
              <w:pStyle w:val="102"/>
              <w:rPr>
                <w:rFonts w:cs="Arial"/>
                <w:szCs w:val="18"/>
              </w:rPr>
            </w:pPr>
            <w:r>
              <w:rPr>
                <w:rFonts w:cs="Arial"/>
                <w:szCs w:val="18"/>
              </w:rPr>
              <w:t>CHEM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rPr>
                <w:rFonts w:cs="Arial"/>
                <w:szCs w:val="18"/>
              </w:rPr>
            </w:pPr>
            <w:r>
              <w:t>PduSessionId</w:t>
            </w:r>
          </w:p>
        </w:tc>
        <w:tc>
          <w:tcPr>
            <w:tcW w:w="1987" w:type="dxa"/>
            <w:noWrap w:val="0"/>
            <w:vAlign w:val="top"/>
          </w:tcPr>
          <w:p>
            <w:pPr>
              <w:pStyle w:val="102"/>
              <w:rPr>
                <w:rFonts w:cs="Arial"/>
                <w:szCs w:val="18"/>
              </w:rPr>
            </w:pPr>
            <w:r>
              <w:t>3GPP TS 29.571 [12]</w:t>
            </w:r>
          </w:p>
        </w:tc>
        <w:tc>
          <w:tcPr>
            <w:tcW w:w="3794" w:type="dxa"/>
            <w:noWrap w:val="0"/>
            <w:vAlign w:val="top"/>
          </w:tcPr>
          <w:p>
            <w:pPr>
              <w:pStyle w:val="102"/>
              <w:rPr>
                <w:rFonts w:cs="Arial"/>
                <w:szCs w:val="18"/>
              </w:rPr>
            </w:pPr>
            <w:r>
              <w:t>The identification of the PDU session.</w:t>
            </w:r>
          </w:p>
        </w:tc>
        <w:tc>
          <w:tcPr>
            <w:tcW w:w="1897" w:type="dxa"/>
            <w:noWrap w:val="0"/>
            <w:vAlign w:val="top"/>
          </w:tcPr>
          <w:p>
            <w:pPr>
              <w:pStyle w:val="102"/>
              <w:rPr>
                <w:rFonts w:cs="Arial"/>
                <w:szCs w:val="18"/>
              </w:rPr>
            </w:pPr>
            <w:r>
              <w:t>URSPEnforcement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rPr>
                <w:rFonts w:cs="Arial"/>
                <w:szCs w:val="18"/>
              </w:rPr>
            </w:pPr>
            <w:r>
              <w:rPr>
                <w:rFonts w:hint="eastAsia"/>
                <w:lang w:eastAsia="zh-CN"/>
              </w:rPr>
              <w:t>P</w:t>
            </w:r>
            <w:r>
              <w:rPr>
                <w:lang w:eastAsia="zh-CN"/>
              </w:rPr>
              <w:t>duSetQosPara</w:t>
            </w:r>
          </w:p>
        </w:tc>
        <w:tc>
          <w:tcPr>
            <w:tcW w:w="1987" w:type="dxa"/>
            <w:noWrap w:val="0"/>
            <w:vAlign w:val="top"/>
          </w:tcPr>
          <w:p>
            <w:pPr>
              <w:pStyle w:val="102"/>
              <w:rPr>
                <w:rFonts w:cs="Arial"/>
                <w:szCs w:val="18"/>
              </w:rPr>
            </w:pPr>
            <w:r>
              <w:t>3GPP TS 29.571 [12]</w:t>
            </w:r>
          </w:p>
        </w:tc>
        <w:tc>
          <w:tcPr>
            <w:tcW w:w="3794" w:type="dxa"/>
            <w:noWrap w:val="0"/>
            <w:vAlign w:val="top"/>
          </w:tcPr>
          <w:p>
            <w:pPr>
              <w:pStyle w:val="102"/>
              <w:rPr>
                <w:rFonts w:cs="Arial"/>
                <w:szCs w:val="18"/>
              </w:rPr>
            </w:pPr>
            <w:r>
              <w:rPr>
                <w:rFonts w:cs="Arial"/>
                <w:szCs w:val="18"/>
              </w:rPr>
              <w:t>PDU Set related QoS parameters.</w:t>
            </w:r>
          </w:p>
        </w:tc>
        <w:tc>
          <w:tcPr>
            <w:tcW w:w="1897" w:type="dxa"/>
            <w:noWrap w:val="0"/>
            <w:vAlign w:val="top"/>
          </w:tcPr>
          <w:p>
            <w:pPr>
              <w:pStyle w:val="102"/>
              <w:rPr>
                <w:rFonts w:cs="Arial"/>
                <w:szCs w:val="18"/>
              </w:rPr>
            </w:pPr>
            <w:r>
              <w:rPr>
                <w:rFonts w:cs="Arial"/>
              </w:rPr>
              <w:t>PDUSetHandling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rPr>
                <w:rFonts w:cs="Arial"/>
                <w:szCs w:val="18"/>
              </w:rPr>
            </w:pPr>
            <w:r>
              <w:rPr>
                <w:rFonts w:hint="eastAsia"/>
                <w:lang w:eastAsia="zh-CN"/>
              </w:rPr>
              <w:t>P</w:t>
            </w:r>
            <w:r>
              <w:rPr>
                <w:lang w:eastAsia="zh-CN"/>
              </w:rPr>
              <w:t>duSetQosParaRm</w:t>
            </w:r>
          </w:p>
        </w:tc>
        <w:tc>
          <w:tcPr>
            <w:tcW w:w="1987" w:type="dxa"/>
            <w:noWrap w:val="0"/>
            <w:vAlign w:val="top"/>
          </w:tcPr>
          <w:p>
            <w:pPr>
              <w:pStyle w:val="102"/>
              <w:rPr>
                <w:rFonts w:cs="Arial"/>
                <w:szCs w:val="18"/>
              </w:rPr>
            </w:pPr>
            <w:r>
              <w:t>3GPP TS 29.571 [12]</w:t>
            </w:r>
          </w:p>
        </w:tc>
        <w:tc>
          <w:tcPr>
            <w:tcW w:w="3794" w:type="dxa"/>
            <w:noWrap w:val="0"/>
            <w:vAlign w:val="top"/>
          </w:tcPr>
          <w:p>
            <w:pPr>
              <w:pStyle w:val="102"/>
              <w:rPr>
                <w:rFonts w:cs="Arial"/>
                <w:szCs w:val="18"/>
              </w:rPr>
            </w:pPr>
            <w:r>
              <w:t>This data type is defined in the same way as the "</w:t>
            </w:r>
            <w:r>
              <w:rPr>
                <w:rFonts w:hint="eastAsia"/>
                <w:lang w:eastAsia="zh-CN"/>
              </w:rPr>
              <w:t>P</w:t>
            </w:r>
            <w:r>
              <w:rPr>
                <w:lang w:eastAsia="zh-CN"/>
              </w:rPr>
              <w:t>duSetQosPara</w:t>
            </w:r>
            <w:r>
              <w:t>" data type, but with the OpenAPI "nullable: true" property.</w:t>
            </w:r>
          </w:p>
        </w:tc>
        <w:tc>
          <w:tcPr>
            <w:tcW w:w="1897" w:type="dxa"/>
            <w:noWrap w:val="0"/>
            <w:vAlign w:val="top"/>
          </w:tcPr>
          <w:p>
            <w:pPr>
              <w:pStyle w:val="102"/>
              <w:rPr>
                <w:rFonts w:cs="Arial"/>
                <w:szCs w:val="18"/>
              </w:rPr>
            </w:pPr>
            <w:r>
              <w:rPr>
                <w:rFonts w:cs="Arial"/>
              </w:rPr>
              <w:t>PDUSetHandling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pPr>
            <w:r>
              <w:t>Pei</w:t>
            </w:r>
          </w:p>
        </w:tc>
        <w:tc>
          <w:tcPr>
            <w:tcW w:w="1987" w:type="dxa"/>
            <w:noWrap w:val="0"/>
            <w:vAlign w:val="top"/>
          </w:tcPr>
          <w:p>
            <w:pPr>
              <w:pStyle w:val="102"/>
            </w:pPr>
            <w:r>
              <w:t>3GPP TS 29.571 [12]</w:t>
            </w:r>
          </w:p>
        </w:tc>
        <w:tc>
          <w:tcPr>
            <w:tcW w:w="3794" w:type="dxa"/>
            <w:noWrap w:val="0"/>
            <w:vAlign w:val="top"/>
          </w:tcPr>
          <w:p>
            <w:pPr>
              <w:pStyle w:val="102"/>
              <w:rPr>
                <w:rFonts w:cs="Arial"/>
                <w:szCs w:val="18"/>
              </w:rPr>
            </w:pPr>
            <w:r>
              <w:rPr>
                <w:rFonts w:cs="Arial"/>
                <w:szCs w:val="18"/>
              </w:rPr>
              <w:t>Identifies the PEI.</w:t>
            </w:r>
          </w:p>
        </w:tc>
        <w:tc>
          <w:tcPr>
            <w:tcW w:w="1897" w:type="dxa"/>
            <w:noWrap w:val="0"/>
            <w:vAlign w:val="top"/>
          </w:tcPr>
          <w:p>
            <w:pPr>
              <w:pStyle w:val="102"/>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pPr>
            <w:r>
              <w:t>PlmnIdNid</w:t>
            </w:r>
          </w:p>
        </w:tc>
        <w:tc>
          <w:tcPr>
            <w:tcW w:w="1987" w:type="dxa"/>
            <w:noWrap w:val="0"/>
            <w:vAlign w:val="top"/>
          </w:tcPr>
          <w:p>
            <w:pPr>
              <w:pStyle w:val="102"/>
            </w:pPr>
            <w:r>
              <w:t>3GPP TS 29.571 [12]</w:t>
            </w:r>
          </w:p>
        </w:tc>
        <w:tc>
          <w:tcPr>
            <w:tcW w:w="3794" w:type="dxa"/>
            <w:noWrap w:val="0"/>
            <w:vAlign w:val="top"/>
          </w:tcPr>
          <w:p>
            <w:pPr>
              <w:pStyle w:val="102"/>
              <w:rPr>
                <w:rFonts w:cs="Arial"/>
                <w:szCs w:val="18"/>
              </w:rPr>
            </w:pPr>
            <w:r>
              <w:rPr>
                <w:rFonts w:cs="Arial"/>
                <w:szCs w:val="18"/>
              </w:rPr>
              <w:t xml:space="preserve">Identifies the network: the PLMN Identifier (the mobile country code and the mobile network code) or the SNPN Identifier </w:t>
            </w:r>
            <w:r>
              <w:t>(the PLMN Identifier and the NID).</w:t>
            </w:r>
          </w:p>
        </w:tc>
        <w:tc>
          <w:tcPr>
            <w:tcW w:w="1897"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pPr>
            <w:r>
              <w:t>PreemptionCapability</w:t>
            </w:r>
          </w:p>
        </w:tc>
        <w:tc>
          <w:tcPr>
            <w:tcW w:w="1987" w:type="dxa"/>
            <w:noWrap w:val="0"/>
            <w:vAlign w:val="top"/>
          </w:tcPr>
          <w:p>
            <w:pPr>
              <w:pStyle w:val="102"/>
            </w:pPr>
            <w:r>
              <w:t>3GPP TS 29.571 [12]</w:t>
            </w:r>
          </w:p>
        </w:tc>
        <w:tc>
          <w:tcPr>
            <w:tcW w:w="3794" w:type="dxa"/>
            <w:noWrap w:val="0"/>
            <w:vAlign w:val="top"/>
          </w:tcPr>
          <w:p>
            <w:pPr>
              <w:pStyle w:val="102"/>
              <w:rPr>
                <w:rFonts w:cs="Arial"/>
                <w:szCs w:val="18"/>
              </w:rPr>
            </w:pPr>
            <w:r>
              <w:rPr>
                <w:rFonts w:cs="Arial"/>
                <w:szCs w:val="18"/>
              </w:rPr>
              <w:t>Pre-emption capability.</w:t>
            </w:r>
          </w:p>
        </w:tc>
        <w:tc>
          <w:tcPr>
            <w:tcW w:w="1897" w:type="dxa"/>
            <w:noWrap w:val="0"/>
            <w:vAlign w:val="top"/>
          </w:tcPr>
          <w:p>
            <w:pPr>
              <w:pStyle w:val="102"/>
              <w:rPr>
                <w:rFonts w:cs="Arial"/>
                <w:szCs w:val="18"/>
              </w:rPr>
            </w:pPr>
            <w:r>
              <w:rPr>
                <w:rFonts w:cs="Arial"/>
                <w:szCs w:val="18"/>
              </w:rPr>
              <w:t>MCPTT-Preemption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pPr>
            <w:r>
              <w:t>PreemptionVulnerability</w:t>
            </w:r>
          </w:p>
        </w:tc>
        <w:tc>
          <w:tcPr>
            <w:tcW w:w="1987" w:type="dxa"/>
            <w:noWrap w:val="0"/>
            <w:vAlign w:val="top"/>
          </w:tcPr>
          <w:p>
            <w:pPr>
              <w:pStyle w:val="102"/>
            </w:pPr>
            <w:r>
              <w:t>3GPP TS 29.571 [12]</w:t>
            </w:r>
          </w:p>
        </w:tc>
        <w:tc>
          <w:tcPr>
            <w:tcW w:w="3794" w:type="dxa"/>
            <w:noWrap w:val="0"/>
            <w:vAlign w:val="top"/>
          </w:tcPr>
          <w:p>
            <w:pPr>
              <w:pStyle w:val="102"/>
              <w:rPr>
                <w:rFonts w:cs="Arial"/>
                <w:szCs w:val="18"/>
              </w:rPr>
            </w:pPr>
            <w:r>
              <w:rPr>
                <w:rFonts w:cs="Arial"/>
                <w:szCs w:val="18"/>
              </w:rPr>
              <w:t>Pre-emption vulnerability.</w:t>
            </w:r>
          </w:p>
        </w:tc>
        <w:tc>
          <w:tcPr>
            <w:tcW w:w="1897" w:type="dxa"/>
            <w:noWrap w:val="0"/>
            <w:vAlign w:val="top"/>
          </w:tcPr>
          <w:p>
            <w:pPr>
              <w:pStyle w:val="102"/>
              <w:rPr>
                <w:rFonts w:cs="Arial"/>
                <w:szCs w:val="18"/>
              </w:rPr>
            </w:pPr>
            <w:r>
              <w:rPr>
                <w:rFonts w:cs="Arial"/>
                <w:szCs w:val="18"/>
              </w:rPr>
              <w:t>MCPTT-Preemption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pPr>
            <w:r>
              <w:t>PreemptionCapabilityRm</w:t>
            </w:r>
          </w:p>
        </w:tc>
        <w:tc>
          <w:tcPr>
            <w:tcW w:w="1987" w:type="dxa"/>
            <w:noWrap w:val="0"/>
            <w:vAlign w:val="top"/>
          </w:tcPr>
          <w:p>
            <w:pPr>
              <w:pStyle w:val="102"/>
            </w:pPr>
            <w:r>
              <w:t>3GPP TS 29.571 [12]</w:t>
            </w:r>
          </w:p>
        </w:tc>
        <w:tc>
          <w:tcPr>
            <w:tcW w:w="3794" w:type="dxa"/>
            <w:noWrap w:val="0"/>
            <w:vAlign w:val="top"/>
          </w:tcPr>
          <w:p>
            <w:pPr>
              <w:pStyle w:val="102"/>
              <w:rPr>
                <w:rFonts w:cs="Arial"/>
                <w:szCs w:val="18"/>
              </w:rPr>
            </w:pPr>
            <w:r>
              <w:t>It is defined in the same way as the "PreemptionCapability" data type, but with the OpenAPI "nullable: true" property.</w:t>
            </w:r>
          </w:p>
        </w:tc>
        <w:tc>
          <w:tcPr>
            <w:tcW w:w="1897" w:type="dxa"/>
            <w:noWrap w:val="0"/>
            <w:vAlign w:val="top"/>
          </w:tcPr>
          <w:p>
            <w:pPr>
              <w:pStyle w:val="102"/>
              <w:rPr>
                <w:rFonts w:cs="Arial"/>
                <w:szCs w:val="18"/>
              </w:rPr>
            </w:pPr>
            <w:r>
              <w:rPr>
                <w:rFonts w:cs="Arial"/>
                <w:szCs w:val="18"/>
              </w:rPr>
              <w:t>MCPTT-Preemption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pPr>
            <w:r>
              <w:t>PreemptionVulnerabilityRm</w:t>
            </w:r>
          </w:p>
        </w:tc>
        <w:tc>
          <w:tcPr>
            <w:tcW w:w="1987" w:type="dxa"/>
            <w:noWrap w:val="0"/>
            <w:vAlign w:val="top"/>
          </w:tcPr>
          <w:p>
            <w:pPr>
              <w:pStyle w:val="102"/>
            </w:pPr>
            <w:r>
              <w:t>3GPP TS 29.571 [12]</w:t>
            </w:r>
          </w:p>
        </w:tc>
        <w:tc>
          <w:tcPr>
            <w:tcW w:w="3794" w:type="dxa"/>
            <w:noWrap w:val="0"/>
            <w:vAlign w:val="top"/>
          </w:tcPr>
          <w:p>
            <w:pPr>
              <w:pStyle w:val="102"/>
              <w:rPr>
                <w:rFonts w:cs="Arial"/>
                <w:szCs w:val="18"/>
              </w:rPr>
            </w:pPr>
            <w:r>
              <w:t>It is defined in the same way as the "PreemptionVulnerability" data type, but with the OpenAPI "nullable: true" property.</w:t>
            </w:r>
          </w:p>
        </w:tc>
        <w:tc>
          <w:tcPr>
            <w:tcW w:w="1897" w:type="dxa"/>
            <w:noWrap w:val="0"/>
            <w:vAlign w:val="top"/>
          </w:tcPr>
          <w:p>
            <w:pPr>
              <w:pStyle w:val="102"/>
              <w:rPr>
                <w:rFonts w:cs="Arial"/>
                <w:szCs w:val="18"/>
              </w:rPr>
            </w:pPr>
            <w:r>
              <w:rPr>
                <w:rFonts w:cs="Arial"/>
                <w:szCs w:val="18"/>
              </w:rPr>
              <w:t>MCPTT-Preemption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pPr>
            <w:r>
              <w:t>PresenceInfo</w:t>
            </w:r>
          </w:p>
        </w:tc>
        <w:tc>
          <w:tcPr>
            <w:tcW w:w="1987" w:type="dxa"/>
            <w:noWrap w:val="0"/>
            <w:vAlign w:val="top"/>
          </w:tcPr>
          <w:p>
            <w:pPr>
              <w:pStyle w:val="102"/>
            </w:pPr>
            <w:r>
              <w:t>3GPP TS 29.571 [12]</w:t>
            </w:r>
          </w:p>
        </w:tc>
        <w:tc>
          <w:tcPr>
            <w:tcW w:w="3794" w:type="dxa"/>
            <w:noWrap w:val="0"/>
            <w:vAlign w:val="top"/>
          </w:tcPr>
          <w:p>
            <w:pPr>
              <w:pStyle w:val="102"/>
              <w:rPr>
                <w:rFonts w:cs="Arial"/>
                <w:szCs w:val="18"/>
              </w:rPr>
            </w:pPr>
            <w:r>
              <w:rPr>
                <w:rFonts w:cs="Arial"/>
                <w:szCs w:val="18"/>
              </w:rPr>
              <w:t>Represents an area of interest, e.g. a Presence Reporting Area.</w:t>
            </w:r>
          </w:p>
        </w:tc>
        <w:tc>
          <w:tcPr>
            <w:tcW w:w="1897" w:type="dxa"/>
            <w:noWrap w:val="0"/>
            <w:vAlign w:val="top"/>
          </w:tcPr>
          <w:p>
            <w:pPr>
              <w:pStyle w:val="102"/>
              <w:rPr>
                <w:rFonts w:cs="Arial"/>
                <w:szCs w:val="18"/>
              </w:rPr>
            </w:pPr>
            <w:r>
              <w:rPr>
                <w:rFonts w:cs="Arial"/>
                <w:szCs w:val="18"/>
              </w:rPr>
              <w:t>InfluenceOnTrafficRouting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pPr>
            <w:r>
              <w:t>PortManagementContainer</w:t>
            </w:r>
          </w:p>
        </w:tc>
        <w:tc>
          <w:tcPr>
            <w:tcW w:w="1987" w:type="dxa"/>
            <w:noWrap w:val="0"/>
            <w:vAlign w:val="top"/>
          </w:tcPr>
          <w:p>
            <w:pPr>
              <w:pStyle w:val="102"/>
            </w:pPr>
            <w:r>
              <w:t>3GPP TS 29.512 [8]</w:t>
            </w:r>
          </w:p>
        </w:tc>
        <w:tc>
          <w:tcPr>
            <w:tcW w:w="3794" w:type="dxa"/>
            <w:noWrap w:val="0"/>
            <w:vAlign w:val="top"/>
          </w:tcPr>
          <w:p>
            <w:pPr>
              <w:pStyle w:val="102"/>
              <w:rPr>
                <w:rFonts w:cs="Arial"/>
                <w:szCs w:val="18"/>
              </w:rPr>
            </w:pPr>
            <w:r>
              <w:rPr>
                <w:rFonts w:cs="Arial"/>
                <w:szCs w:val="18"/>
              </w:rPr>
              <w:t>Contains port management information for a related port.</w:t>
            </w:r>
          </w:p>
        </w:tc>
        <w:tc>
          <w:tcPr>
            <w:tcW w:w="1897" w:type="dxa"/>
            <w:noWrap w:val="0"/>
            <w:vAlign w:val="top"/>
          </w:tcPr>
          <w:p>
            <w:pPr>
              <w:pStyle w:val="102"/>
              <w:rPr>
                <w:rFonts w:cs="Arial"/>
                <w:szCs w:val="18"/>
              </w:rPr>
            </w:pPr>
            <w:r>
              <w:rPr>
                <w:rFonts w:cs="Arial"/>
                <w:szCs w:val="18"/>
              </w:rP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pPr>
            <w:r>
              <w:rPr>
                <w:lang w:eastAsia="zh-CN"/>
              </w:rPr>
              <w:t>ProblemDetails</w:t>
            </w:r>
          </w:p>
        </w:tc>
        <w:tc>
          <w:tcPr>
            <w:tcW w:w="1987" w:type="dxa"/>
            <w:noWrap w:val="0"/>
            <w:vAlign w:val="top"/>
          </w:tcPr>
          <w:p>
            <w:pPr>
              <w:pStyle w:val="102"/>
            </w:pPr>
            <w:r>
              <w:t>3GPP TS 29.571 [12]</w:t>
            </w:r>
          </w:p>
        </w:tc>
        <w:tc>
          <w:tcPr>
            <w:tcW w:w="3794" w:type="dxa"/>
            <w:noWrap w:val="0"/>
            <w:vAlign w:val="top"/>
          </w:tcPr>
          <w:p>
            <w:pPr>
              <w:pStyle w:val="102"/>
              <w:rPr>
                <w:rFonts w:cs="Arial"/>
                <w:szCs w:val="18"/>
              </w:rPr>
            </w:pPr>
            <w:r>
              <w:t>Contains</w:t>
            </w:r>
            <w:r>
              <w:rPr>
                <w:rFonts w:cs="Arial"/>
                <w:szCs w:val="18"/>
                <w:lang w:eastAsia="zh-CN"/>
              </w:rPr>
              <w:t xml:space="preserve"> a detailed information about an error.</w:t>
            </w:r>
          </w:p>
        </w:tc>
        <w:tc>
          <w:tcPr>
            <w:tcW w:w="1897"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rPr>
                <w:lang w:eastAsia="zh-CN"/>
              </w:rPr>
            </w:pPr>
            <w:r>
              <w:t>ProtocolDescription</w:t>
            </w:r>
          </w:p>
        </w:tc>
        <w:tc>
          <w:tcPr>
            <w:tcW w:w="1987" w:type="dxa"/>
            <w:noWrap w:val="0"/>
            <w:vAlign w:val="top"/>
          </w:tcPr>
          <w:p>
            <w:pPr>
              <w:pStyle w:val="102"/>
            </w:pPr>
            <w:r>
              <w:t>3GPP TS 29.571 [12]</w:t>
            </w:r>
          </w:p>
        </w:tc>
        <w:tc>
          <w:tcPr>
            <w:tcW w:w="3794" w:type="dxa"/>
            <w:noWrap w:val="0"/>
            <w:vAlign w:val="top"/>
          </w:tcPr>
          <w:p>
            <w:pPr>
              <w:pStyle w:val="102"/>
            </w:pPr>
            <w:r>
              <w:rPr>
                <w:lang w:eastAsia="zh-CN"/>
              </w:rPr>
              <w:t>Represents Protocol description of the media flow</w:t>
            </w:r>
          </w:p>
        </w:tc>
        <w:tc>
          <w:tcPr>
            <w:tcW w:w="1897" w:type="dxa"/>
            <w:noWrap w:val="0"/>
            <w:vAlign w:val="top"/>
          </w:tcPr>
          <w:p>
            <w:pPr>
              <w:pStyle w:val="102"/>
              <w:rPr>
                <w:rFonts w:cs="Arial"/>
                <w:szCs w:val="18"/>
              </w:rPr>
            </w:pPr>
            <w:r>
              <w:rPr>
                <w:rFonts w:cs="Arial"/>
              </w:rPr>
              <w:t>PDUSetHandling</w:t>
            </w:r>
            <w:r>
              <w:rPr>
                <w:rFonts w:cs="Arial"/>
              </w:rPr>
              <w:br w:type="textWrapping"/>
            </w:r>
            <w:r>
              <w:rPr>
                <w:rFonts w:cs="Arial"/>
              </w:rPr>
              <w:t>PowerSaving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rPr>
                <w:lang w:eastAsia="zh-CN"/>
              </w:rPr>
            </w:pPr>
            <w:r>
              <w:rPr>
                <w:lang w:eastAsia="zh-CN"/>
              </w:rPr>
              <w:t>QosMonitoringParamType</w:t>
            </w:r>
          </w:p>
        </w:tc>
        <w:tc>
          <w:tcPr>
            <w:tcW w:w="1987" w:type="dxa"/>
            <w:noWrap w:val="0"/>
            <w:vAlign w:val="top"/>
          </w:tcPr>
          <w:p>
            <w:pPr>
              <w:pStyle w:val="102"/>
            </w:pPr>
            <w:r>
              <w:t>3GPP TS 29.512 [8]</w:t>
            </w:r>
          </w:p>
        </w:tc>
        <w:tc>
          <w:tcPr>
            <w:tcW w:w="3794" w:type="dxa"/>
            <w:noWrap w:val="0"/>
            <w:vAlign w:val="top"/>
          </w:tcPr>
          <w:p>
            <w:pPr>
              <w:pStyle w:val="102"/>
              <w:rPr>
                <w:rFonts w:cs="Arial"/>
                <w:szCs w:val="18"/>
                <w:lang w:bidi="ta-IN"/>
              </w:rPr>
            </w:pPr>
            <w:r>
              <w:t>Contains the QoS monitoring parameter to be monitored.</w:t>
            </w:r>
          </w:p>
        </w:tc>
        <w:tc>
          <w:tcPr>
            <w:tcW w:w="1897" w:type="dxa"/>
            <w:noWrap w:val="0"/>
            <w:vAlign w:val="top"/>
          </w:tcPr>
          <w:p>
            <w:pPr>
              <w:pStyle w:val="102"/>
              <w:rPr>
                <w:rFonts w:cs="Arial"/>
                <w:szCs w:val="18"/>
              </w:rPr>
            </w:pPr>
            <w:r>
              <w:t>EnQosMon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pPr>
            <w:r>
              <w:rPr>
                <w:lang w:eastAsia="zh-CN"/>
              </w:rPr>
              <w:t>RanNasRelCause</w:t>
            </w:r>
          </w:p>
        </w:tc>
        <w:tc>
          <w:tcPr>
            <w:tcW w:w="1987" w:type="dxa"/>
            <w:noWrap w:val="0"/>
            <w:vAlign w:val="top"/>
          </w:tcPr>
          <w:p>
            <w:pPr>
              <w:pStyle w:val="102"/>
            </w:pPr>
            <w:r>
              <w:t>3GPP TS 29.512 [8]</w:t>
            </w:r>
          </w:p>
        </w:tc>
        <w:tc>
          <w:tcPr>
            <w:tcW w:w="3794" w:type="dxa"/>
            <w:noWrap w:val="0"/>
            <w:vAlign w:val="top"/>
          </w:tcPr>
          <w:p>
            <w:pPr>
              <w:pStyle w:val="102"/>
              <w:rPr>
                <w:rFonts w:cs="Arial"/>
                <w:szCs w:val="18"/>
              </w:rPr>
            </w:pPr>
            <w:r>
              <w:rPr>
                <w:rFonts w:cs="Arial"/>
                <w:szCs w:val="18"/>
                <w:lang w:bidi="ta-IN"/>
              </w:rPr>
              <w:t>Indicates RAN and/or NAS release cause code information.</w:t>
            </w:r>
          </w:p>
        </w:tc>
        <w:tc>
          <w:tcPr>
            <w:tcW w:w="1897" w:type="dxa"/>
            <w:noWrap w:val="0"/>
            <w:vAlign w:val="top"/>
          </w:tcPr>
          <w:p>
            <w:pPr>
              <w:pStyle w:val="102"/>
              <w:rPr>
                <w:rFonts w:cs="Arial"/>
                <w:szCs w:val="18"/>
              </w:rPr>
            </w:pPr>
            <w:r>
              <w:rPr>
                <w:rFonts w:cs="Arial"/>
                <w:szCs w:val="18"/>
              </w:rPr>
              <w:t>RAN-NAS-Cause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rPr>
                <w:lang w:eastAsia="zh-CN"/>
              </w:rPr>
            </w:pPr>
            <w:r>
              <w:t>RatType</w:t>
            </w:r>
          </w:p>
        </w:tc>
        <w:tc>
          <w:tcPr>
            <w:tcW w:w="1987" w:type="dxa"/>
            <w:noWrap w:val="0"/>
            <w:vAlign w:val="top"/>
          </w:tcPr>
          <w:p>
            <w:pPr>
              <w:pStyle w:val="102"/>
            </w:pPr>
            <w:r>
              <w:t>3GPP TS 29.571 [12]</w:t>
            </w:r>
          </w:p>
        </w:tc>
        <w:tc>
          <w:tcPr>
            <w:tcW w:w="3794" w:type="dxa"/>
            <w:noWrap w:val="0"/>
            <w:vAlign w:val="top"/>
          </w:tcPr>
          <w:p>
            <w:pPr>
              <w:pStyle w:val="102"/>
              <w:rPr>
                <w:rFonts w:cs="Arial"/>
                <w:szCs w:val="18"/>
                <w:lang w:bidi="ta-IN"/>
              </w:rPr>
            </w:pPr>
            <w:r>
              <w:rPr>
                <w:rFonts w:cs="Arial"/>
                <w:szCs w:val="18"/>
              </w:rPr>
              <w:t>RAT Type.</w:t>
            </w:r>
          </w:p>
        </w:tc>
        <w:tc>
          <w:tcPr>
            <w:tcW w:w="1897"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rPr>
                <w:lang w:eastAsia="zh-CN"/>
              </w:rPr>
            </w:pPr>
            <w:r>
              <w:t>RedirectResponse</w:t>
            </w:r>
          </w:p>
        </w:tc>
        <w:tc>
          <w:tcPr>
            <w:tcW w:w="1987" w:type="dxa"/>
            <w:noWrap w:val="0"/>
            <w:vAlign w:val="top"/>
          </w:tcPr>
          <w:p>
            <w:pPr>
              <w:pStyle w:val="102"/>
            </w:pPr>
            <w:r>
              <w:t>3GPP TS 29.571 [12]</w:t>
            </w:r>
          </w:p>
        </w:tc>
        <w:tc>
          <w:tcPr>
            <w:tcW w:w="3794" w:type="dxa"/>
            <w:noWrap w:val="0"/>
            <w:vAlign w:val="top"/>
          </w:tcPr>
          <w:p>
            <w:pPr>
              <w:pStyle w:val="102"/>
              <w:rPr>
                <w:rFonts w:cs="Arial"/>
                <w:szCs w:val="18"/>
                <w:lang w:bidi="ta-IN"/>
              </w:rPr>
            </w:pPr>
            <w:r>
              <w:t>Contains</w:t>
            </w:r>
            <w:r>
              <w:rPr>
                <w:rFonts w:cs="Arial"/>
                <w:szCs w:val="18"/>
                <w:lang w:eastAsia="zh-CN"/>
              </w:rPr>
              <w:t xml:space="preserve"> redirection related information.</w:t>
            </w:r>
          </w:p>
        </w:tc>
        <w:tc>
          <w:tcPr>
            <w:tcW w:w="1897" w:type="dxa"/>
            <w:noWrap w:val="0"/>
            <w:vAlign w:val="top"/>
          </w:tcPr>
          <w:p>
            <w:pPr>
              <w:pStyle w:val="102"/>
              <w:rPr>
                <w:rFonts w:cs="Arial"/>
                <w:szCs w:val="18"/>
              </w:rPr>
            </w:pPr>
            <w:r>
              <w:t>ES3XX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pPr>
            <w:r>
              <w:t>RedundantPduSessionInformation</w:t>
            </w:r>
          </w:p>
        </w:tc>
        <w:tc>
          <w:tcPr>
            <w:tcW w:w="1987" w:type="dxa"/>
            <w:noWrap w:val="0"/>
            <w:vAlign w:val="top"/>
          </w:tcPr>
          <w:p>
            <w:pPr>
              <w:pStyle w:val="102"/>
            </w:pPr>
            <w:r>
              <w:rPr>
                <w:lang w:eastAsia="zh-CN"/>
              </w:rPr>
              <w:t>3GPP TS 29.502 [57]</w:t>
            </w:r>
          </w:p>
        </w:tc>
        <w:tc>
          <w:tcPr>
            <w:tcW w:w="3794" w:type="dxa"/>
            <w:noWrap w:val="0"/>
            <w:vAlign w:val="top"/>
          </w:tcPr>
          <w:p>
            <w:pPr>
              <w:pStyle w:val="102"/>
            </w:pPr>
            <w:r>
              <w:t>Contains the Redundant PDU session information, i.e, the RSN and the PDU Session Pair ID.</w:t>
            </w:r>
          </w:p>
        </w:tc>
        <w:tc>
          <w:tcPr>
            <w:tcW w:w="1897" w:type="dxa"/>
            <w:noWrap w:val="0"/>
            <w:vAlign w:val="top"/>
          </w:tcPr>
          <w:p>
            <w:pPr>
              <w:pStyle w:val="102"/>
            </w:pPr>
            <w:r>
              <w:t>URSPEnforcement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rPr>
                <w:lang w:eastAsia="zh-CN"/>
              </w:rPr>
            </w:pPr>
            <w:r>
              <w:rPr>
                <w:lang w:eastAsia="zh-CN"/>
              </w:rPr>
              <w:t>RequestedQosMonitoringParameter</w:t>
            </w:r>
          </w:p>
        </w:tc>
        <w:tc>
          <w:tcPr>
            <w:tcW w:w="1987" w:type="dxa"/>
            <w:noWrap w:val="0"/>
            <w:vAlign w:val="top"/>
          </w:tcPr>
          <w:p>
            <w:pPr>
              <w:pStyle w:val="102"/>
            </w:pPr>
            <w:r>
              <w:t>3GPP TS 29.512 [8]</w:t>
            </w:r>
          </w:p>
        </w:tc>
        <w:tc>
          <w:tcPr>
            <w:tcW w:w="3794" w:type="dxa"/>
            <w:noWrap w:val="0"/>
            <w:vAlign w:val="top"/>
          </w:tcPr>
          <w:p>
            <w:pPr>
              <w:pStyle w:val="102"/>
              <w:rPr>
                <w:rFonts w:cs="Arial"/>
                <w:szCs w:val="18"/>
                <w:lang w:bidi="ta-IN"/>
              </w:rPr>
            </w:pPr>
            <w:r>
              <w:rPr>
                <w:rFonts w:cs="Arial"/>
                <w:szCs w:val="18"/>
                <w:lang w:eastAsia="zh-CN"/>
              </w:rPr>
              <w:t xml:space="preserve">Indicate </w:t>
            </w:r>
            <w:r>
              <w:t>the QoS information to be monitored, e.g.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7" w:type="dxa"/>
            <w:noWrap w:val="0"/>
            <w:vAlign w:val="top"/>
          </w:tcPr>
          <w:p>
            <w:pPr>
              <w:pStyle w:val="102"/>
              <w:rPr>
                <w:rFonts w:cs="Arial"/>
                <w:szCs w:val="18"/>
              </w:rPr>
            </w:pPr>
            <w:r>
              <w:t>QoSMonitoring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pPr>
            <w:r>
              <w:t>RouteToLocation</w:t>
            </w:r>
          </w:p>
        </w:tc>
        <w:tc>
          <w:tcPr>
            <w:tcW w:w="1987" w:type="dxa"/>
            <w:noWrap w:val="0"/>
            <w:vAlign w:val="top"/>
          </w:tcPr>
          <w:p>
            <w:pPr>
              <w:pStyle w:val="102"/>
            </w:pPr>
            <w:r>
              <w:t>3GPP TS 29.571 [12]</w:t>
            </w:r>
          </w:p>
        </w:tc>
        <w:tc>
          <w:tcPr>
            <w:tcW w:w="3794" w:type="dxa"/>
            <w:noWrap w:val="0"/>
            <w:vAlign w:val="top"/>
          </w:tcPr>
          <w:p>
            <w:pPr>
              <w:pStyle w:val="102"/>
              <w:rPr>
                <w:rFonts w:cs="Arial"/>
                <w:szCs w:val="18"/>
              </w:rPr>
            </w:pPr>
            <w:r>
              <w:rPr>
                <w:rFonts w:cs="Arial"/>
                <w:szCs w:val="18"/>
              </w:rPr>
              <w:t xml:space="preserve">Identifies </w:t>
            </w:r>
            <w:r>
              <w:t>routes to locations of applications.</w:t>
            </w:r>
          </w:p>
        </w:tc>
        <w:tc>
          <w:tcPr>
            <w:tcW w:w="1897" w:type="dxa"/>
            <w:noWrap w:val="0"/>
            <w:vAlign w:val="top"/>
          </w:tcPr>
          <w:p>
            <w:pPr>
              <w:pStyle w:val="102"/>
              <w:rPr>
                <w:rFonts w:cs="Arial"/>
                <w:szCs w:val="18"/>
              </w:rPr>
            </w:pPr>
            <w:r>
              <w:rPr>
                <w:rFonts w:cs="Arial"/>
                <w:szCs w:val="18"/>
              </w:rPr>
              <w:t>InfluenceOnTrafficRouting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rPr>
                <w:color w:val="000000"/>
              </w:rPr>
            </w:pPr>
            <w:r>
              <w:rPr>
                <w:color w:val="000000"/>
              </w:rPr>
              <w:t>SatelliteBackhaulCategory</w:t>
            </w:r>
          </w:p>
        </w:tc>
        <w:tc>
          <w:tcPr>
            <w:tcW w:w="1987" w:type="dxa"/>
            <w:noWrap w:val="0"/>
            <w:vAlign w:val="top"/>
          </w:tcPr>
          <w:p>
            <w:pPr>
              <w:pStyle w:val="102"/>
            </w:pPr>
            <w:r>
              <w:t>3GPP TS 29.571 [12]</w:t>
            </w:r>
          </w:p>
        </w:tc>
        <w:tc>
          <w:tcPr>
            <w:tcW w:w="3794" w:type="dxa"/>
            <w:noWrap w:val="0"/>
            <w:vAlign w:val="top"/>
          </w:tcPr>
          <w:p>
            <w:pPr>
              <w:pStyle w:val="102"/>
              <w:rPr>
                <w:rFonts w:cs="Arial"/>
                <w:szCs w:val="18"/>
              </w:rPr>
            </w:pPr>
            <w:r>
              <w:rPr>
                <w:rFonts w:cs="Arial"/>
                <w:szCs w:val="18"/>
              </w:rPr>
              <w:t>Indicates the satellite or non-satellite backhaul category</w:t>
            </w:r>
          </w:p>
        </w:tc>
        <w:tc>
          <w:tcPr>
            <w:tcW w:w="1897" w:type="dxa"/>
            <w:noWrap w:val="0"/>
            <w:vAlign w:val="top"/>
          </w:tcPr>
          <w:p>
            <w:pPr>
              <w:pStyle w:val="102"/>
              <w:rPr>
                <w:rFonts w:cs="Arial"/>
                <w:szCs w:val="18"/>
              </w:rPr>
            </w:pPr>
            <w:r>
              <w:rPr>
                <w:rFonts w:cs="Arial"/>
                <w:szCs w:val="18"/>
              </w:rPr>
              <w:t>SatelliteBackhaul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pPr>
            <w:r>
              <w:t>Snssai</w:t>
            </w:r>
          </w:p>
        </w:tc>
        <w:tc>
          <w:tcPr>
            <w:tcW w:w="1987" w:type="dxa"/>
            <w:noWrap w:val="0"/>
            <w:vAlign w:val="top"/>
          </w:tcPr>
          <w:p>
            <w:pPr>
              <w:pStyle w:val="102"/>
            </w:pPr>
            <w:r>
              <w:t>3GPP TS 29.571 [12]</w:t>
            </w:r>
          </w:p>
        </w:tc>
        <w:tc>
          <w:tcPr>
            <w:tcW w:w="3794" w:type="dxa"/>
            <w:noWrap w:val="0"/>
            <w:vAlign w:val="top"/>
          </w:tcPr>
          <w:p>
            <w:pPr>
              <w:pStyle w:val="102"/>
              <w:rPr>
                <w:rFonts w:cs="Arial"/>
                <w:szCs w:val="18"/>
              </w:rPr>
            </w:pPr>
            <w:r>
              <w:rPr>
                <w:rFonts w:cs="Arial"/>
                <w:szCs w:val="18"/>
              </w:rPr>
              <w:t>Identifies the S-NSSAI.</w:t>
            </w:r>
          </w:p>
        </w:tc>
        <w:tc>
          <w:tcPr>
            <w:tcW w:w="1897"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pPr>
            <w:r>
              <w:t>SscMode</w:t>
            </w:r>
          </w:p>
        </w:tc>
        <w:tc>
          <w:tcPr>
            <w:tcW w:w="1987" w:type="dxa"/>
            <w:noWrap w:val="0"/>
            <w:vAlign w:val="top"/>
          </w:tcPr>
          <w:p>
            <w:pPr>
              <w:pStyle w:val="102"/>
            </w:pPr>
            <w:r>
              <w:t>3GPP TS 29.571 [12]</w:t>
            </w:r>
          </w:p>
        </w:tc>
        <w:tc>
          <w:tcPr>
            <w:tcW w:w="3794" w:type="dxa"/>
            <w:noWrap w:val="0"/>
            <w:vAlign w:val="top"/>
          </w:tcPr>
          <w:p>
            <w:pPr>
              <w:pStyle w:val="102"/>
              <w:rPr>
                <w:rFonts w:cs="Arial"/>
                <w:szCs w:val="18"/>
              </w:rPr>
            </w:pPr>
            <w:r>
              <w:rPr>
                <w:rFonts w:cs="Arial"/>
                <w:szCs w:val="18"/>
              </w:rPr>
              <w:t>Service and session continuity mode.</w:t>
            </w:r>
          </w:p>
        </w:tc>
        <w:tc>
          <w:tcPr>
            <w:tcW w:w="1897" w:type="dxa"/>
            <w:noWrap w:val="0"/>
            <w:vAlign w:val="top"/>
          </w:tcPr>
          <w:p>
            <w:pPr>
              <w:pStyle w:val="102"/>
              <w:rPr>
                <w:rFonts w:cs="Arial"/>
                <w:szCs w:val="18"/>
              </w:rPr>
            </w:pPr>
            <w:r>
              <w:rPr>
                <w:rFonts w:cs="Arial"/>
                <w:szCs w:val="18"/>
              </w:rPr>
              <w:t>URSPEnforcement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rPr>
                <w:lang w:eastAsia="zh-CN"/>
              </w:rPr>
            </w:pPr>
            <w:r>
              <w:t>Supi</w:t>
            </w:r>
          </w:p>
        </w:tc>
        <w:tc>
          <w:tcPr>
            <w:tcW w:w="1987" w:type="dxa"/>
            <w:noWrap w:val="0"/>
            <w:vAlign w:val="top"/>
          </w:tcPr>
          <w:p>
            <w:pPr>
              <w:pStyle w:val="102"/>
            </w:pPr>
            <w:r>
              <w:t>3GPP TS 29.571 [12]</w:t>
            </w:r>
          </w:p>
        </w:tc>
        <w:tc>
          <w:tcPr>
            <w:tcW w:w="3794" w:type="dxa"/>
            <w:noWrap w:val="0"/>
            <w:vAlign w:val="top"/>
          </w:tcPr>
          <w:p>
            <w:pPr>
              <w:pStyle w:val="102"/>
              <w:rPr>
                <w:rFonts w:cs="Arial"/>
                <w:szCs w:val="18"/>
              </w:rPr>
            </w:pPr>
            <w:r>
              <w:rPr>
                <w:rFonts w:cs="Arial"/>
                <w:szCs w:val="18"/>
              </w:rPr>
              <w:t>Identifies the SUPI.</w:t>
            </w:r>
          </w:p>
        </w:tc>
        <w:tc>
          <w:tcPr>
            <w:tcW w:w="1897"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pPr>
            <w:r>
              <w:rPr>
                <w:lang w:eastAsia="zh-CN"/>
              </w:rPr>
              <w:t>SupportedFeatures</w:t>
            </w:r>
          </w:p>
        </w:tc>
        <w:tc>
          <w:tcPr>
            <w:tcW w:w="1987" w:type="dxa"/>
            <w:noWrap w:val="0"/>
            <w:vAlign w:val="top"/>
          </w:tcPr>
          <w:p>
            <w:pPr>
              <w:pStyle w:val="102"/>
            </w:pPr>
            <w:r>
              <w:t>3GPP TS 29.571 [12]</w:t>
            </w:r>
          </w:p>
        </w:tc>
        <w:tc>
          <w:tcPr>
            <w:tcW w:w="3794" w:type="dxa"/>
            <w:noWrap w:val="0"/>
            <w:vAlign w:val="top"/>
          </w:tcPr>
          <w:p>
            <w:pPr>
              <w:pStyle w:val="102"/>
              <w:rPr>
                <w:rFonts w:cs="Arial"/>
                <w:szCs w:val="18"/>
              </w:rPr>
            </w:pPr>
            <w:r>
              <w:rPr>
                <w:rFonts w:cs="Arial"/>
                <w:szCs w:val="18"/>
              </w:rPr>
              <w:t xml:space="preserve">Used to negotiate the applicability of the optional features defined in </w:t>
            </w:r>
            <w:r>
              <w:t>table 5.8-1.</w:t>
            </w:r>
          </w:p>
        </w:tc>
        <w:tc>
          <w:tcPr>
            <w:tcW w:w="1897"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rPr>
                <w:lang w:eastAsia="zh-CN"/>
              </w:rPr>
            </w:pPr>
            <w:r>
              <w:t>TimeWindow</w:t>
            </w:r>
          </w:p>
        </w:tc>
        <w:tc>
          <w:tcPr>
            <w:tcW w:w="1987" w:type="dxa"/>
            <w:noWrap w:val="0"/>
            <w:vAlign w:val="top"/>
          </w:tcPr>
          <w:p>
            <w:pPr>
              <w:pStyle w:val="102"/>
            </w:pPr>
            <w:r>
              <w:t>3GPP TS 29.122 [15]</w:t>
            </w:r>
          </w:p>
        </w:tc>
        <w:tc>
          <w:tcPr>
            <w:tcW w:w="3794" w:type="dxa"/>
            <w:noWrap w:val="0"/>
            <w:vAlign w:val="top"/>
          </w:tcPr>
          <w:p>
            <w:pPr>
              <w:pStyle w:val="102"/>
              <w:rPr>
                <w:rFonts w:cs="Arial"/>
                <w:szCs w:val="18"/>
              </w:rPr>
            </w:pPr>
            <w:r>
              <w:t>Time window identified by a start time and a stop time.</w:t>
            </w:r>
          </w:p>
        </w:tc>
        <w:tc>
          <w:tcPr>
            <w:tcW w:w="1897" w:type="dxa"/>
            <w:noWrap w:val="0"/>
            <w:vAlign w:val="top"/>
          </w:tcPr>
          <w:p>
            <w:pPr>
              <w:pStyle w:val="102"/>
              <w:rPr>
                <w:rFonts w:cs="Arial"/>
                <w:szCs w:val="18"/>
              </w:rPr>
            </w:pPr>
            <w:r>
              <w:rPr>
                <w:lang w:val="en-US"/>
              </w:rPr>
              <w:t>EnTSCAC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center"/>
          </w:tcPr>
          <w:p>
            <w:pPr>
              <w:pStyle w:val="102"/>
              <w:rPr>
                <w:lang w:eastAsia="zh-CN"/>
              </w:rPr>
            </w:pPr>
            <w:r>
              <w:t>TrafficCorrelationInfo</w:t>
            </w:r>
          </w:p>
        </w:tc>
        <w:tc>
          <w:tcPr>
            <w:tcW w:w="1987" w:type="dxa"/>
            <w:noWrap w:val="0"/>
            <w:vAlign w:val="top"/>
          </w:tcPr>
          <w:p>
            <w:pPr>
              <w:pStyle w:val="102"/>
            </w:pPr>
            <w:r>
              <w:t>3GPP TS 29.519 [53]</w:t>
            </w:r>
          </w:p>
        </w:tc>
        <w:tc>
          <w:tcPr>
            <w:tcW w:w="3794" w:type="dxa"/>
            <w:noWrap w:val="0"/>
            <w:vAlign w:val="top"/>
          </w:tcPr>
          <w:p>
            <w:pPr>
              <w:pStyle w:val="102"/>
              <w:rPr>
                <w:rFonts w:cs="Arial"/>
                <w:szCs w:val="18"/>
              </w:rPr>
            </w:pPr>
            <w:r>
              <w:rPr>
                <w:rFonts w:hint="eastAsia" w:cs="Arial"/>
                <w:szCs w:val="18"/>
                <w:lang w:eastAsia="zh-CN"/>
              </w:rPr>
              <w:t>C</w:t>
            </w:r>
            <w:r>
              <w:rPr>
                <w:rFonts w:cs="Arial"/>
                <w:szCs w:val="18"/>
                <w:lang w:eastAsia="zh-CN"/>
              </w:rPr>
              <w:t>ontains the information for traffic correlation.</w:t>
            </w:r>
          </w:p>
        </w:tc>
        <w:tc>
          <w:tcPr>
            <w:tcW w:w="1897" w:type="dxa"/>
            <w:noWrap w:val="0"/>
            <w:vAlign w:val="top"/>
          </w:tcPr>
          <w:p>
            <w:pPr>
              <w:pStyle w:val="102"/>
              <w:rPr>
                <w:rFonts w:cs="Arial"/>
                <w:szCs w:val="18"/>
              </w:rPr>
            </w:pPr>
            <w:r>
              <w:rPr>
                <w:rFonts w:cs="Arial"/>
                <w:szCs w:val="18"/>
                <w:lang w:eastAsia="zh-CN"/>
              </w:rPr>
              <w:t>CommonEASDNAI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rPr>
                <w:lang w:eastAsia="zh-CN"/>
              </w:rPr>
            </w:pPr>
            <w:r>
              <w:rPr>
                <w:lang w:eastAsia="zh-CN"/>
              </w:rPr>
              <w:t>TimeZone</w:t>
            </w:r>
          </w:p>
        </w:tc>
        <w:tc>
          <w:tcPr>
            <w:tcW w:w="1987" w:type="dxa"/>
            <w:noWrap w:val="0"/>
            <w:vAlign w:val="top"/>
          </w:tcPr>
          <w:p>
            <w:pPr>
              <w:pStyle w:val="102"/>
            </w:pPr>
            <w:r>
              <w:t>3GPP TS 29.571 [12]</w:t>
            </w:r>
          </w:p>
        </w:tc>
        <w:tc>
          <w:tcPr>
            <w:tcW w:w="3794" w:type="dxa"/>
            <w:noWrap w:val="0"/>
            <w:vAlign w:val="top"/>
          </w:tcPr>
          <w:p>
            <w:pPr>
              <w:pStyle w:val="102"/>
              <w:rPr>
                <w:rFonts w:cs="Arial"/>
                <w:szCs w:val="18"/>
              </w:rPr>
            </w:pPr>
            <w:r>
              <w:rPr>
                <w:rFonts w:cs="Arial"/>
                <w:szCs w:val="18"/>
              </w:rPr>
              <w:t>Time Zone.</w:t>
            </w:r>
          </w:p>
        </w:tc>
        <w:tc>
          <w:tcPr>
            <w:tcW w:w="1897" w:type="dxa"/>
            <w:noWrap w:val="0"/>
            <w:vAlign w:val="top"/>
          </w:tcPr>
          <w:p>
            <w:pPr>
              <w:pStyle w:val="102"/>
              <w:rPr>
                <w:rFonts w:cs="Arial"/>
                <w:szCs w:val="18"/>
              </w:rPr>
            </w:pPr>
            <w:r>
              <w:rPr>
                <w:rFonts w:cs="Arial"/>
                <w:szCs w:val="18"/>
              </w:rPr>
              <w:t>NetLoc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rPr>
                <w:lang w:eastAsia="zh-CN"/>
              </w:rPr>
            </w:pPr>
            <w:r>
              <w:t>TsnBridgeInfo</w:t>
            </w:r>
          </w:p>
        </w:tc>
        <w:tc>
          <w:tcPr>
            <w:tcW w:w="1987" w:type="dxa"/>
            <w:noWrap w:val="0"/>
            <w:vAlign w:val="top"/>
          </w:tcPr>
          <w:p>
            <w:pPr>
              <w:pStyle w:val="102"/>
            </w:pPr>
            <w:r>
              <w:t>3GPP TS 29.512 [8]</w:t>
            </w:r>
          </w:p>
        </w:tc>
        <w:tc>
          <w:tcPr>
            <w:tcW w:w="3794" w:type="dxa"/>
            <w:noWrap w:val="0"/>
            <w:vAlign w:val="top"/>
          </w:tcPr>
          <w:p>
            <w:pPr>
              <w:pStyle w:val="102"/>
              <w:rPr>
                <w:rFonts w:cs="Arial"/>
                <w:szCs w:val="18"/>
              </w:rPr>
            </w:pPr>
            <w:r>
              <w:rPr>
                <w:rFonts w:cs="Arial"/>
                <w:szCs w:val="18"/>
              </w:rPr>
              <w:t>TSC user plane node information.</w:t>
            </w:r>
          </w:p>
        </w:tc>
        <w:tc>
          <w:tcPr>
            <w:tcW w:w="1897" w:type="dxa"/>
            <w:noWrap w:val="0"/>
            <w:vAlign w:val="top"/>
          </w:tcPr>
          <w:p>
            <w:pPr>
              <w:pStyle w:val="102"/>
              <w:rPr>
                <w:rFonts w:cs="Arial"/>
                <w:szCs w:val="18"/>
              </w:rPr>
            </w:pPr>
            <w:r>
              <w:rPr>
                <w:rFonts w:cs="Arial"/>
                <w:szCs w:val="18"/>
              </w:rP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pPr>
            <w:r>
              <w:t>Uint32</w:t>
            </w:r>
          </w:p>
        </w:tc>
        <w:tc>
          <w:tcPr>
            <w:tcW w:w="1987" w:type="dxa"/>
            <w:noWrap w:val="0"/>
            <w:vAlign w:val="top"/>
          </w:tcPr>
          <w:p>
            <w:pPr>
              <w:pStyle w:val="102"/>
            </w:pPr>
            <w:r>
              <w:t>3GPP TS 29.571 [12]</w:t>
            </w:r>
          </w:p>
        </w:tc>
        <w:tc>
          <w:tcPr>
            <w:tcW w:w="3794" w:type="dxa"/>
            <w:noWrap w:val="0"/>
            <w:vAlign w:val="top"/>
          </w:tcPr>
          <w:p>
            <w:pPr>
              <w:pStyle w:val="102"/>
            </w:pPr>
            <w:r>
              <w:t>Unsigned 32-bit integers, i.e. only value 0 and 32-bit integers above 0 are permissible.</w:t>
            </w:r>
          </w:p>
        </w:tc>
        <w:tc>
          <w:tcPr>
            <w:tcW w:w="1897" w:type="dxa"/>
            <w:noWrap w:val="0"/>
            <w:vAlign w:val="top"/>
          </w:tcPr>
          <w:p>
            <w:pPr>
              <w:pStyle w:val="102"/>
              <w:rPr>
                <w:rFonts w:cs="Arial"/>
                <w:szCs w:val="18"/>
              </w:rPr>
            </w:pPr>
            <w:r>
              <w:rPr>
                <w:rFonts w:cs="Arial"/>
                <w:szCs w:val="18"/>
              </w:rPr>
              <w:t>ResourceSharing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pPr>
            <w:r>
              <w:t>Uint32Rm</w:t>
            </w:r>
          </w:p>
        </w:tc>
        <w:tc>
          <w:tcPr>
            <w:tcW w:w="1987" w:type="dxa"/>
            <w:noWrap w:val="0"/>
            <w:vAlign w:val="top"/>
          </w:tcPr>
          <w:p>
            <w:pPr>
              <w:pStyle w:val="102"/>
            </w:pPr>
            <w:r>
              <w:t>3GPP TS 29.571 [12]</w:t>
            </w:r>
          </w:p>
        </w:tc>
        <w:tc>
          <w:tcPr>
            <w:tcW w:w="3794" w:type="dxa"/>
            <w:noWrap w:val="0"/>
            <w:vAlign w:val="top"/>
          </w:tcPr>
          <w:p>
            <w:pPr>
              <w:pStyle w:val="102"/>
            </w:pPr>
            <w:r>
              <w:t>This data type is defined in the same way as the "Uint32" data type, but with the OpenAPI "nullable: true" property.</w:t>
            </w:r>
          </w:p>
        </w:tc>
        <w:tc>
          <w:tcPr>
            <w:tcW w:w="1897" w:type="dxa"/>
            <w:noWrap w:val="0"/>
            <w:vAlign w:val="top"/>
          </w:tcPr>
          <w:p>
            <w:pPr>
              <w:pStyle w:val="102"/>
              <w:rPr>
                <w:rFonts w:cs="Arial"/>
                <w:szCs w:val="18"/>
              </w:rPr>
            </w:pPr>
            <w:r>
              <w:rPr>
                <w:rFonts w:cs="Arial"/>
                <w:szCs w:val="18"/>
              </w:rPr>
              <w:t>ResourceSharing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rPr>
                <w:lang w:eastAsia="zh-CN"/>
              </w:rPr>
            </w:pPr>
            <w:r>
              <w:rPr>
                <w:rFonts w:hint="eastAsia"/>
                <w:lang w:eastAsia="zh-CN"/>
              </w:rPr>
              <w:t>U</w:t>
            </w:r>
            <w:r>
              <w:rPr>
                <w:lang w:eastAsia="zh-CN"/>
              </w:rPr>
              <w:t>integer</w:t>
            </w:r>
          </w:p>
        </w:tc>
        <w:tc>
          <w:tcPr>
            <w:tcW w:w="1987" w:type="dxa"/>
            <w:noWrap w:val="0"/>
            <w:vAlign w:val="top"/>
          </w:tcPr>
          <w:p>
            <w:pPr>
              <w:pStyle w:val="102"/>
            </w:pPr>
            <w:r>
              <w:t>3GPP TS 29.571 [12]</w:t>
            </w:r>
          </w:p>
        </w:tc>
        <w:tc>
          <w:tcPr>
            <w:tcW w:w="3794" w:type="dxa"/>
            <w:noWrap w:val="0"/>
            <w:vAlign w:val="top"/>
          </w:tcPr>
          <w:p>
            <w:pPr>
              <w:pStyle w:val="102"/>
            </w:pPr>
            <w:r>
              <w:t>Unsigned Integer, i.e. only value 0 and integers above 0 are permissible.</w:t>
            </w:r>
          </w:p>
          <w:p>
            <w:pPr>
              <w:pStyle w:val="102"/>
            </w:pPr>
            <w:r>
              <w:t>Minimum = 0.</w:t>
            </w:r>
          </w:p>
        </w:tc>
        <w:tc>
          <w:tcPr>
            <w:tcW w:w="1897" w:type="dxa"/>
            <w:noWrap w:val="0"/>
            <w:vAlign w:val="top"/>
          </w:tcPr>
          <w:p>
            <w:pPr>
              <w:pStyle w:val="102"/>
              <w:rPr>
                <w:lang w:eastAsia="zh-CN"/>
              </w:rPr>
            </w:pPr>
            <w:r>
              <w:rPr>
                <w:rFonts w:cs="Arial"/>
                <w:szCs w:val="18"/>
              </w:rP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rPr>
                <w:rFonts w:hint="eastAsia"/>
                <w:lang w:eastAsia="zh-CN"/>
              </w:rPr>
            </w:pPr>
            <w:r>
              <w:rPr>
                <w:rFonts w:hint="eastAsia"/>
                <w:lang w:eastAsia="zh-CN"/>
              </w:rPr>
              <w:t>U</w:t>
            </w:r>
            <w:r>
              <w:rPr>
                <w:lang w:eastAsia="zh-CN"/>
              </w:rPr>
              <w:t>integerRm</w:t>
            </w:r>
          </w:p>
        </w:tc>
        <w:tc>
          <w:tcPr>
            <w:tcW w:w="1987" w:type="dxa"/>
            <w:noWrap w:val="0"/>
            <w:vAlign w:val="top"/>
          </w:tcPr>
          <w:p>
            <w:pPr>
              <w:pStyle w:val="102"/>
            </w:pPr>
            <w:r>
              <w:t>3GPP TS 29.571 [12]</w:t>
            </w:r>
          </w:p>
        </w:tc>
        <w:tc>
          <w:tcPr>
            <w:tcW w:w="3794" w:type="dxa"/>
            <w:noWrap w:val="0"/>
            <w:vAlign w:val="top"/>
          </w:tcPr>
          <w:p>
            <w:pPr>
              <w:pStyle w:val="102"/>
            </w:pPr>
            <w:r>
              <w:t>This data type is defined in the same way as the "Uint32" data type, but with the OpenAPI "nullable: true" property.</w:t>
            </w:r>
          </w:p>
        </w:tc>
        <w:tc>
          <w:tcPr>
            <w:tcW w:w="1897" w:type="dxa"/>
            <w:noWrap w:val="0"/>
            <w:vAlign w:val="top"/>
          </w:tcPr>
          <w:p>
            <w:pPr>
              <w:pStyle w:val="102"/>
              <w:rPr>
                <w:rFonts w:cs="Arial"/>
                <w:szCs w:val="18"/>
              </w:rPr>
            </w:pPr>
            <w:r>
              <w:rPr>
                <w:lang w:eastAsia="zh-CN"/>
              </w:rPr>
              <w:t xml:space="preserve">AF_latency, </w:t>
            </w:r>
            <w:r>
              <w:rPr>
                <w:rFonts w:cs="Arial"/>
                <w:szCs w:val="18"/>
              </w:rPr>
              <w:t>QoSMonitoring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pPr>
            <w:r>
              <w:t>UpPathChgEvent</w:t>
            </w:r>
          </w:p>
        </w:tc>
        <w:tc>
          <w:tcPr>
            <w:tcW w:w="1987" w:type="dxa"/>
            <w:noWrap w:val="0"/>
            <w:vAlign w:val="top"/>
          </w:tcPr>
          <w:p>
            <w:pPr>
              <w:pStyle w:val="102"/>
            </w:pPr>
            <w:r>
              <w:t>3GPP TS 29.512 [8]</w:t>
            </w:r>
          </w:p>
        </w:tc>
        <w:tc>
          <w:tcPr>
            <w:tcW w:w="3794" w:type="dxa"/>
            <w:noWrap w:val="0"/>
            <w:vAlign w:val="top"/>
          </w:tcPr>
          <w:p>
            <w:pPr>
              <w:pStyle w:val="102"/>
            </w:pPr>
            <w:r>
              <w:t>Contains the subscription information to be delivered to SMF for the UP path management events.</w:t>
            </w:r>
          </w:p>
        </w:tc>
        <w:tc>
          <w:tcPr>
            <w:tcW w:w="1897" w:type="dxa"/>
            <w:noWrap w:val="0"/>
            <w:vAlign w:val="top"/>
          </w:tcPr>
          <w:p>
            <w:pPr>
              <w:pStyle w:val="102"/>
              <w:rPr>
                <w:rFonts w:cs="Arial"/>
                <w:szCs w:val="18"/>
              </w:rPr>
            </w:pPr>
            <w:r>
              <w:rPr>
                <w:rFonts w:cs="Arial"/>
                <w:szCs w:val="18"/>
              </w:rPr>
              <w:t>InfluenceOnTrafficRouting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pPr>
            <w:r>
              <w:t>Uri</w:t>
            </w:r>
          </w:p>
        </w:tc>
        <w:tc>
          <w:tcPr>
            <w:tcW w:w="1987" w:type="dxa"/>
            <w:noWrap w:val="0"/>
            <w:vAlign w:val="top"/>
          </w:tcPr>
          <w:p>
            <w:pPr>
              <w:pStyle w:val="102"/>
            </w:pPr>
            <w:r>
              <w:t>3GPP TS 29.571 [12]</w:t>
            </w:r>
          </w:p>
        </w:tc>
        <w:tc>
          <w:tcPr>
            <w:tcW w:w="3794" w:type="dxa"/>
            <w:noWrap w:val="0"/>
            <w:vAlign w:val="top"/>
          </w:tcPr>
          <w:p>
            <w:pPr>
              <w:pStyle w:val="102"/>
            </w:pPr>
            <w:r>
              <w:rPr>
                <w:lang w:eastAsia="zh-CN"/>
              </w:rPr>
              <w:t>String providing an URI.</w:t>
            </w:r>
          </w:p>
        </w:tc>
        <w:tc>
          <w:tcPr>
            <w:tcW w:w="1897" w:type="dxa"/>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pPr>
            <w:r>
              <w:rPr>
                <w:lang w:eastAsia="zh-CN"/>
              </w:rPr>
              <w:t>UsageThreshold</w:t>
            </w:r>
          </w:p>
        </w:tc>
        <w:tc>
          <w:tcPr>
            <w:tcW w:w="1987" w:type="dxa"/>
            <w:noWrap w:val="0"/>
            <w:vAlign w:val="top"/>
          </w:tcPr>
          <w:p>
            <w:pPr>
              <w:pStyle w:val="102"/>
            </w:pPr>
            <w:r>
              <w:t>3GPP TS 29.122 [15]</w:t>
            </w:r>
          </w:p>
        </w:tc>
        <w:tc>
          <w:tcPr>
            <w:tcW w:w="3794" w:type="dxa"/>
            <w:noWrap w:val="0"/>
            <w:vAlign w:val="top"/>
          </w:tcPr>
          <w:p>
            <w:pPr>
              <w:pStyle w:val="102"/>
            </w:pPr>
            <w:r>
              <w:rPr>
                <w:rFonts w:cs="Arial"/>
                <w:szCs w:val="18"/>
              </w:rPr>
              <w:t>Usage Thresholds.</w:t>
            </w:r>
          </w:p>
        </w:tc>
        <w:tc>
          <w:tcPr>
            <w:tcW w:w="1897" w:type="dxa"/>
            <w:noWrap w:val="0"/>
            <w:vAlign w:val="top"/>
          </w:tcPr>
          <w:p>
            <w:pPr>
              <w:pStyle w:val="102"/>
              <w:rPr>
                <w:rFonts w:cs="Arial"/>
                <w:szCs w:val="18"/>
              </w:rPr>
            </w:pPr>
            <w:r>
              <w:rPr>
                <w:rFonts w:cs="Arial"/>
                <w:szCs w:val="18"/>
              </w:rPr>
              <w:t>SponsoredConnectivity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rPr>
                <w:lang w:eastAsia="zh-CN"/>
              </w:rPr>
            </w:pPr>
            <w:r>
              <w:rPr>
                <w:lang w:eastAsia="zh-CN"/>
              </w:rPr>
              <w:t>UsageThresholdRm</w:t>
            </w:r>
          </w:p>
        </w:tc>
        <w:tc>
          <w:tcPr>
            <w:tcW w:w="1987" w:type="dxa"/>
            <w:noWrap w:val="0"/>
            <w:vAlign w:val="top"/>
          </w:tcPr>
          <w:p>
            <w:pPr>
              <w:pStyle w:val="102"/>
            </w:pPr>
            <w:r>
              <w:t>3GPP TS 29.122 [15]</w:t>
            </w:r>
          </w:p>
        </w:tc>
        <w:tc>
          <w:tcPr>
            <w:tcW w:w="3794" w:type="dxa"/>
            <w:noWrap w:val="0"/>
            <w:vAlign w:val="top"/>
          </w:tcPr>
          <w:p>
            <w:pPr>
              <w:pStyle w:val="102"/>
              <w:rPr>
                <w:rFonts w:cs="Arial"/>
                <w:szCs w:val="18"/>
              </w:rPr>
            </w:pPr>
            <w:r>
              <w:t>This data type is defined in the same way as the "UsageThreshold" data type, but with the OpenAPI "nullable: true" property.</w:t>
            </w:r>
          </w:p>
        </w:tc>
        <w:tc>
          <w:tcPr>
            <w:tcW w:w="1897" w:type="dxa"/>
            <w:noWrap w:val="0"/>
            <w:vAlign w:val="top"/>
          </w:tcPr>
          <w:p>
            <w:pPr>
              <w:pStyle w:val="102"/>
              <w:rPr>
                <w:rFonts w:cs="Arial"/>
                <w:szCs w:val="18"/>
              </w:rPr>
            </w:pPr>
            <w:r>
              <w:rPr>
                <w:rFonts w:cs="Arial"/>
                <w:szCs w:val="18"/>
              </w:rPr>
              <w:t>SponsoredConnectivity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977" w:type="dxa"/>
            <w:noWrap w:val="0"/>
            <w:vAlign w:val="top"/>
          </w:tcPr>
          <w:p>
            <w:pPr>
              <w:pStyle w:val="102"/>
              <w:rPr>
                <w:lang w:eastAsia="zh-CN"/>
              </w:rPr>
            </w:pPr>
            <w:r>
              <w:rPr>
                <w:lang w:eastAsia="zh-CN"/>
              </w:rPr>
              <w:t>UserLocation</w:t>
            </w:r>
          </w:p>
        </w:tc>
        <w:tc>
          <w:tcPr>
            <w:tcW w:w="1987" w:type="dxa"/>
            <w:noWrap w:val="0"/>
            <w:vAlign w:val="top"/>
          </w:tcPr>
          <w:p>
            <w:pPr>
              <w:pStyle w:val="102"/>
            </w:pPr>
            <w:r>
              <w:t>3GPP TS 29.571 [12]</w:t>
            </w:r>
          </w:p>
        </w:tc>
        <w:tc>
          <w:tcPr>
            <w:tcW w:w="3794" w:type="dxa"/>
            <w:noWrap w:val="0"/>
            <w:vAlign w:val="top"/>
          </w:tcPr>
          <w:p>
            <w:pPr>
              <w:pStyle w:val="102"/>
            </w:pPr>
            <w:r>
              <w:rPr>
                <w:rFonts w:cs="Arial"/>
                <w:szCs w:val="18"/>
              </w:rPr>
              <w:t>User Location(s).</w:t>
            </w:r>
          </w:p>
        </w:tc>
        <w:tc>
          <w:tcPr>
            <w:tcW w:w="1897" w:type="dxa"/>
            <w:noWrap w:val="0"/>
            <w:vAlign w:val="top"/>
          </w:tcPr>
          <w:p>
            <w:pPr>
              <w:pStyle w:val="102"/>
              <w:rPr>
                <w:rFonts w:cs="Arial"/>
                <w:szCs w:val="18"/>
              </w:rPr>
            </w:pPr>
            <w:r>
              <w:rPr>
                <w:rFonts w:cs="Arial"/>
                <w:szCs w:val="18"/>
              </w:rPr>
              <w:t>NetLoc</w:t>
            </w:r>
          </w:p>
        </w:tc>
      </w:tr>
    </w:tbl>
    <w:p/>
    <w:bookmarkEnd w:id="8"/>
    <w:p>
      <w:pPr>
        <w:pBdr>
          <w:top w:val="single" w:color="auto" w:sz="4" w:space="1"/>
          <w:left w:val="single" w:color="auto" w:sz="4" w:space="4"/>
          <w:bottom w:val="single" w:color="auto" w:sz="4" w:space="0"/>
          <w:right w:val="single" w:color="auto" w:sz="4" w:space="4"/>
        </w:pBdr>
        <w:jc w:val="center"/>
        <w:outlineLvl w:val="0"/>
        <w:rPr>
          <w:rFonts w:ascii="Arial" w:hAnsi="Arial" w:cs="Arial"/>
          <w:color w:val="0000FF"/>
          <w:sz w:val="28"/>
          <w:szCs w:val="28"/>
        </w:rPr>
      </w:pPr>
      <w:r>
        <w:rPr>
          <w:rFonts w:ascii="Arial" w:hAnsi="Arial" w:cs="Arial"/>
          <w:color w:val="0000FF"/>
          <w:sz w:val="28"/>
          <w:szCs w:val="28"/>
        </w:rPr>
        <w:t>* * * * Next changes * * * *</w:t>
      </w:r>
    </w:p>
    <w:p>
      <w:pPr>
        <w:pStyle w:val="6"/>
      </w:pPr>
      <w:bookmarkStart w:id="12" w:name="_Toc161912462"/>
      <w:r>
        <w:t>5.6.2.7</w:t>
      </w:r>
      <w:r>
        <w:tab/>
      </w:r>
      <w:r>
        <w:t>Type MediaComponent</w:t>
      </w:r>
      <w:bookmarkEnd w:id="12"/>
    </w:p>
    <w:p>
      <w:pPr>
        <w:pStyle w:val="104"/>
      </w:pPr>
      <w:r>
        <w:t>Table 5.6.2.7-1: Definition of type MediaComponent</w:t>
      </w:r>
    </w:p>
    <w:tbl>
      <w:tblPr>
        <w:tblStyle w:val="89"/>
        <w:tblW w:w="965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36"/>
        <w:gridCol w:w="1573"/>
        <w:gridCol w:w="36"/>
        <w:gridCol w:w="1764"/>
        <w:gridCol w:w="36"/>
        <w:gridCol w:w="325"/>
        <w:gridCol w:w="36"/>
        <w:gridCol w:w="1134"/>
        <w:gridCol w:w="36"/>
        <w:gridCol w:w="3235"/>
        <w:gridCol w:w="36"/>
        <w:gridCol w:w="1372"/>
        <w:gridCol w:w="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tblHeader/>
          <w:jc w:val="center"/>
        </w:trPr>
        <w:tc>
          <w:tcPr>
            <w:tcW w:w="1609" w:type="dxa"/>
            <w:gridSpan w:val="2"/>
            <w:shd w:val="clear" w:color="auto" w:fill="C0C0C0"/>
            <w:noWrap w:val="0"/>
            <w:vAlign w:val="top"/>
          </w:tcPr>
          <w:p>
            <w:pPr>
              <w:pStyle w:val="100"/>
            </w:pPr>
            <w:r>
              <w:t>Attribute name</w:t>
            </w:r>
          </w:p>
        </w:tc>
        <w:tc>
          <w:tcPr>
            <w:tcW w:w="1800" w:type="dxa"/>
            <w:gridSpan w:val="2"/>
            <w:shd w:val="clear" w:color="auto" w:fill="C0C0C0"/>
            <w:noWrap w:val="0"/>
            <w:vAlign w:val="top"/>
          </w:tcPr>
          <w:p>
            <w:pPr>
              <w:pStyle w:val="100"/>
            </w:pPr>
            <w:r>
              <w:t>Data type</w:t>
            </w:r>
          </w:p>
        </w:tc>
        <w:tc>
          <w:tcPr>
            <w:tcW w:w="361" w:type="dxa"/>
            <w:gridSpan w:val="2"/>
            <w:shd w:val="clear" w:color="auto" w:fill="C0C0C0"/>
            <w:noWrap w:val="0"/>
            <w:vAlign w:val="top"/>
          </w:tcPr>
          <w:p>
            <w:pPr>
              <w:pStyle w:val="100"/>
            </w:pPr>
            <w:r>
              <w:t>P</w:t>
            </w:r>
          </w:p>
        </w:tc>
        <w:tc>
          <w:tcPr>
            <w:tcW w:w="1170" w:type="dxa"/>
            <w:gridSpan w:val="2"/>
            <w:shd w:val="clear" w:color="auto" w:fill="C0C0C0"/>
            <w:noWrap w:val="0"/>
            <w:vAlign w:val="top"/>
          </w:tcPr>
          <w:p>
            <w:pPr>
              <w:pStyle w:val="100"/>
            </w:pPr>
            <w:r>
              <w:t>Cardinality</w:t>
            </w:r>
          </w:p>
        </w:tc>
        <w:tc>
          <w:tcPr>
            <w:tcW w:w="3271" w:type="dxa"/>
            <w:gridSpan w:val="2"/>
            <w:shd w:val="clear" w:color="auto" w:fill="C0C0C0"/>
            <w:noWrap w:val="0"/>
            <w:vAlign w:val="top"/>
          </w:tcPr>
          <w:p>
            <w:pPr>
              <w:pStyle w:val="100"/>
            </w:pPr>
            <w:r>
              <w:t>Description</w:t>
            </w:r>
          </w:p>
        </w:tc>
        <w:tc>
          <w:tcPr>
            <w:tcW w:w="1408" w:type="dxa"/>
            <w:gridSpan w:val="2"/>
            <w:shd w:val="clear" w:color="auto" w:fill="C0C0C0"/>
            <w:noWrap w:val="0"/>
            <w:vAlign w:val="top"/>
          </w:tcPr>
          <w:p>
            <w:pPr>
              <w:pStyle w:val="100"/>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afAppId</w:t>
            </w:r>
          </w:p>
        </w:tc>
        <w:tc>
          <w:tcPr>
            <w:tcW w:w="1800" w:type="dxa"/>
            <w:gridSpan w:val="2"/>
            <w:noWrap w:val="0"/>
            <w:vAlign w:val="top"/>
          </w:tcPr>
          <w:p>
            <w:pPr>
              <w:pStyle w:val="102"/>
            </w:pPr>
            <w:r>
              <w:t>AfAppId</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271" w:type="dxa"/>
            <w:gridSpan w:val="2"/>
            <w:noWrap w:val="0"/>
            <w:vAlign w:val="top"/>
          </w:tcPr>
          <w:p>
            <w:pPr>
              <w:pStyle w:val="102"/>
              <w:rPr>
                <w:rFonts w:cs="Arial"/>
                <w:szCs w:val="18"/>
              </w:rPr>
            </w:pPr>
            <w:r>
              <w:rPr>
                <w:rFonts w:cs="Arial"/>
                <w:szCs w:val="18"/>
              </w:rPr>
              <w:t>Contains information that identifies the particular service the AF session</w:t>
            </w:r>
            <w:r>
              <w:t xml:space="preserve"> belongs to.</w:t>
            </w:r>
          </w:p>
        </w:tc>
        <w:tc>
          <w:tcPr>
            <w:tcW w:w="1408" w:type="dxa"/>
            <w:gridSpan w:val="2"/>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afRoutReq</w:t>
            </w:r>
          </w:p>
        </w:tc>
        <w:tc>
          <w:tcPr>
            <w:tcW w:w="1800" w:type="dxa"/>
            <w:gridSpan w:val="2"/>
            <w:noWrap w:val="0"/>
            <w:vAlign w:val="top"/>
          </w:tcPr>
          <w:p>
            <w:pPr>
              <w:pStyle w:val="102"/>
            </w:pPr>
            <w:r>
              <w:t>AfRoutingRequirement</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271" w:type="dxa"/>
            <w:gridSpan w:val="2"/>
            <w:noWrap w:val="0"/>
            <w:vAlign w:val="top"/>
          </w:tcPr>
          <w:p>
            <w:pPr>
              <w:pStyle w:val="102"/>
              <w:rPr>
                <w:rFonts w:cs="Arial"/>
                <w:szCs w:val="18"/>
              </w:rPr>
            </w:pPr>
            <w:r>
              <w:rPr>
                <w:rFonts w:cs="Arial"/>
                <w:szCs w:val="18"/>
              </w:rPr>
              <w:t>Indicates the AF traffic routing requirements.</w:t>
            </w:r>
          </w:p>
        </w:tc>
        <w:tc>
          <w:tcPr>
            <w:tcW w:w="1408" w:type="dxa"/>
            <w:gridSpan w:val="2"/>
            <w:noWrap w:val="0"/>
            <w:vAlign w:val="top"/>
          </w:tcPr>
          <w:p>
            <w:pPr>
              <w:pStyle w:val="102"/>
              <w:rPr>
                <w:rFonts w:cs="Arial"/>
                <w:szCs w:val="18"/>
              </w:rPr>
            </w:pPr>
            <w:r>
              <w:rPr>
                <w:rFonts w:cs="Arial"/>
                <w:szCs w:val="18"/>
              </w:rPr>
              <w:t>InfluenceOnTrafficRouting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afSfcReq</w:t>
            </w:r>
          </w:p>
        </w:tc>
        <w:tc>
          <w:tcPr>
            <w:tcW w:w="1800" w:type="dxa"/>
            <w:gridSpan w:val="2"/>
            <w:noWrap w:val="0"/>
            <w:vAlign w:val="top"/>
          </w:tcPr>
          <w:p>
            <w:pPr>
              <w:pStyle w:val="102"/>
            </w:pPr>
            <w:r>
              <w:t>AfSfcRequirement</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271" w:type="dxa"/>
            <w:gridSpan w:val="2"/>
            <w:noWrap w:val="0"/>
            <w:vAlign w:val="top"/>
          </w:tcPr>
          <w:p>
            <w:pPr>
              <w:pStyle w:val="102"/>
              <w:rPr>
                <w:rFonts w:cs="Arial"/>
                <w:szCs w:val="18"/>
              </w:rPr>
            </w:pPr>
            <w:r>
              <w:rPr>
                <w:rFonts w:cs="Arial"/>
                <w:szCs w:val="18"/>
              </w:rPr>
              <w:t xml:space="preserve">Indicates the AF requirements on steering traffic to </w:t>
            </w:r>
            <w:r>
              <w:t>a pre-configured chain of service functions on N6-LAN.</w:t>
            </w:r>
          </w:p>
        </w:tc>
        <w:tc>
          <w:tcPr>
            <w:tcW w:w="1408" w:type="dxa"/>
            <w:gridSpan w:val="2"/>
            <w:noWrap w:val="0"/>
            <w:vAlign w:val="top"/>
          </w:tcPr>
          <w:p>
            <w:pPr>
              <w:pStyle w:val="102"/>
              <w:rPr>
                <w:rFonts w:cs="Arial"/>
                <w:szCs w:val="18"/>
              </w:rPr>
            </w:pPr>
            <w:r>
              <w:rPr>
                <w:rFonts w:cs="Arial"/>
                <w:szCs w:val="18"/>
              </w:rPr>
              <w:t>SFC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rPr>
                <w:lang w:eastAsia="zh-CN"/>
              </w:rPr>
              <w:t>qosReference</w:t>
            </w:r>
          </w:p>
        </w:tc>
        <w:tc>
          <w:tcPr>
            <w:tcW w:w="1800" w:type="dxa"/>
            <w:gridSpan w:val="2"/>
            <w:noWrap w:val="0"/>
            <w:vAlign w:val="top"/>
          </w:tcPr>
          <w:p>
            <w:pPr>
              <w:pStyle w:val="102"/>
            </w:pPr>
            <w:r>
              <w:rPr>
                <w:lang w:eastAsia="zh-CN"/>
              </w:rPr>
              <w:t>string</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271" w:type="dxa"/>
            <w:gridSpan w:val="2"/>
            <w:noWrap w:val="0"/>
            <w:vAlign w:val="top"/>
          </w:tcPr>
          <w:p>
            <w:pPr>
              <w:pStyle w:val="102"/>
              <w:rPr>
                <w:rFonts w:cs="Arial"/>
                <w:szCs w:val="18"/>
              </w:rPr>
            </w:pPr>
            <w:r>
              <w:rPr>
                <w:rFonts w:cs="Arial"/>
                <w:szCs w:val="18"/>
                <w:lang w:eastAsia="zh-CN"/>
              </w:rPr>
              <w:t>Identifies a pre-defined QoS information</w:t>
            </w:r>
            <w:r>
              <w:t>.</w:t>
            </w:r>
          </w:p>
        </w:tc>
        <w:tc>
          <w:tcPr>
            <w:tcW w:w="1408" w:type="dxa"/>
            <w:gridSpan w:val="2"/>
            <w:noWrap w:val="0"/>
            <w:vAlign w:val="top"/>
          </w:tcPr>
          <w:p>
            <w:pPr>
              <w:pStyle w:val="102"/>
              <w:rPr>
                <w:rFonts w:cs="Arial"/>
                <w:szCs w:val="18"/>
              </w:rPr>
            </w:pPr>
            <w:r>
              <w:t>AuthorizationWithRequiredQoS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rPr>
                <w:lang w:eastAsia="zh-CN"/>
              </w:rPr>
              <w:t>altSerReqs</w:t>
            </w:r>
          </w:p>
        </w:tc>
        <w:tc>
          <w:tcPr>
            <w:tcW w:w="1800" w:type="dxa"/>
            <w:gridSpan w:val="2"/>
            <w:noWrap w:val="0"/>
            <w:vAlign w:val="top"/>
          </w:tcPr>
          <w:p>
            <w:pPr>
              <w:pStyle w:val="102"/>
            </w:pPr>
            <w:r>
              <w:t>array(string)</w:t>
            </w:r>
          </w:p>
        </w:tc>
        <w:tc>
          <w:tcPr>
            <w:tcW w:w="361" w:type="dxa"/>
            <w:gridSpan w:val="2"/>
            <w:noWrap w:val="0"/>
            <w:vAlign w:val="top"/>
          </w:tcPr>
          <w:p>
            <w:pPr>
              <w:pStyle w:val="101"/>
            </w:pPr>
            <w:r>
              <w:rPr>
                <w:lang w:eastAsia="zh-CN"/>
              </w:rPr>
              <w:t>O</w:t>
            </w:r>
          </w:p>
        </w:tc>
        <w:tc>
          <w:tcPr>
            <w:tcW w:w="1170" w:type="dxa"/>
            <w:gridSpan w:val="2"/>
            <w:noWrap w:val="0"/>
            <w:vAlign w:val="top"/>
          </w:tcPr>
          <w:p>
            <w:pPr>
              <w:pStyle w:val="101"/>
            </w:pPr>
            <w:r>
              <w:t>1..N</w:t>
            </w:r>
          </w:p>
        </w:tc>
        <w:tc>
          <w:tcPr>
            <w:tcW w:w="3271" w:type="dxa"/>
            <w:gridSpan w:val="2"/>
            <w:noWrap w:val="0"/>
            <w:vAlign w:val="top"/>
          </w:tcPr>
          <w:p>
            <w:pPr>
              <w:pStyle w:val="102"/>
              <w:rPr>
                <w:rFonts w:cs="Arial"/>
                <w:szCs w:val="18"/>
              </w:rPr>
            </w:pPr>
            <w:r>
              <w:t xml:space="preserve">Ordered list of alternative service requirements </w:t>
            </w:r>
            <w:r>
              <w:rPr>
                <w:rFonts w:eastAsia="Times New Roman"/>
                <w:lang w:val="en-US"/>
              </w:rPr>
              <w:t>that include a set of QoS references</w:t>
            </w:r>
            <w:r>
              <w:t>. The lower the index of the array for a given entry, the higher the priority.(NOTE 1)</w:t>
            </w:r>
          </w:p>
        </w:tc>
        <w:tc>
          <w:tcPr>
            <w:tcW w:w="1408" w:type="dxa"/>
            <w:gridSpan w:val="2"/>
            <w:noWrap w:val="0"/>
            <w:vAlign w:val="top"/>
          </w:tcPr>
          <w:p>
            <w:pPr>
              <w:pStyle w:val="102"/>
              <w:rPr>
                <w:rFonts w:cs="Arial"/>
                <w:szCs w:val="18"/>
              </w:rPr>
            </w:pPr>
            <w:r>
              <w:t>AuthorizationWithRequiredQoS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rPr>
                <w:lang w:eastAsia="zh-CN"/>
              </w:rPr>
            </w:pPr>
            <w:r>
              <w:rPr>
                <w:lang w:eastAsia="zh-CN"/>
              </w:rPr>
              <w:t>altSerReqsData</w:t>
            </w:r>
          </w:p>
        </w:tc>
        <w:tc>
          <w:tcPr>
            <w:tcW w:w="1800" w:type="dxa"/>
            <w:gridSpan w:val="2"/>
            <w:noWrap w:val="0"/>
            <w:vAlign w:val="top"/>
          </w:tcPr>
          <w:p>
            <w:pPr>
              <w:pStyle w:val="102"/>
            </w:pPr>
            <w:r>
              <w:t>array(AlternativeServiceRequirementsData)</w:t>
            </w:r>
          </w:p>
        </w:tc>
        <w:tc>
          <w:tcPr>
            <w:tcW w:w="361" w:type="dxa"/>
            <w:gridSpan w:val="2"/>
            <w:noWrap w:val="0"/>
            <w:vAlign w:val="top"/>
          </w:tcPr>
          <w:p>
            <w:pPr>
              <w:pStyle w:val="101"/>
              <w:rPr>
                <w:lang w:eastAsia="zh-CN"/>
              </w:rPr>
            </w:pPr>
            <w:r>
              <w:rPr>
                <w:lang w:eastAsia="zh-CN"/>
              </w:rPr>
              <w:t>O</w:t>
            </w:r>
          </w:p>
        </w:tc>
        <w:tc>
          <w:tcPr>
            <w:tcW w:w="1170" w:type="dxa"/>
            <w:gridSpan w:val="2"/>
            <w:noWrap w:val="0"/>
            <w:vAlign w:val="top"/>
          </w:tcPr>
          <w:p>
            <w:pPr>
              <w:pStyle w:val="101"/>
            </w:pPr>
            <w:r>
              <w:t>1..N</w:t>
            </w:r>
          </w:p>
        </w:tc>
        <w:tc>
          <w:tcPr>
            <w:tcW w:w="3271" w:type="dxa"/>
            <w:gridSpan w:val="2"/>
            <w:noWrap w:val="0"/>
            <w:vAlign w:val="top"/>
          </w:tcPr>
          <w:p>
            <w:pPr>
              <w:pStyle w:val="102"/>
            </w:pPr>
            <w:r>
              <w:rPr>
                <w:rFonts w:eastAsia="Times New Roman"/>
                <w:lang w:val="en-US"/>
              </w:rPr>
              <w:t>Ordered list of alternative service requirements that include individual QoS parameter sets.</w:t>
            </w:r>
            <w:r>
              <w:t xml:space="preserve"> The lower the index of the array for a given entry, the higher the priority. (NOTE 1)</w:t>
            </w:r>
          </w:p>
        </w:tc>
        <w:tc>
          <w:tcPr>
            <w:tcW w:w="1408" w:type="dxa"/>
            <w:gridSpan w:val="2"/>
            <w:noWrap w:val="0"/>
            <w:vAlign w:val="top"/>
          </w:tcPr>
          <w:p>
            <w:pPr>
              <w:pStyle w:val="102"/>
            </w:pPr>
            <w:r>
              <w:rPr>
                <w:rFonts w:eastAsia="Times New Roman"/>
                <w:lang w:val="en-US"/>
              </w:rPr>
              <w:t>AltSerReqsWithIndQoS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rPr>
                <w:lang w:eastAsia="zh-CN"/>
              </w:rPr>
            </w:pPr>
            <w:r>
              <w:rPr>
                <w:rFonts w:hint="eastAsia"/>
                <w:lang w:eastAsia="zh-CN"/>
              </w:rPr>
              <w:t>d</w:t>
            </w:r>
            <w:r>
              <w:rPr>
                <w:lang w:eastAsia="zh-CN"/>
              </w:rPr>
              <w:t>isUeNotif</w:t>
            </w:r>
          </w:p>
        </w:tc>
        <w:tc>
          <w:tcPr>
            <w:tcW w:w="1800" w:type="dxa"/>
            <w:gridSpan w:val="2"/>
            <w:noWrap w:val="0"/>
            <w:vAlign w:val="top"/>
          </w:tcPr>
          <w:p>
            <w:pPr>
              <w:pStyle w:val="102"/>
            </w:pPr>
            <w:r>
              <w:rPr>
                <w:rFonts w:hint="eastAsia"/>
                <w:lang w:eastAsia="zh-CN"/>
              </w:rPr>
              <w:t>b</w:t>
            </w:r>
            <w:r>
              <w:rPr>
                <w:lang w:eastAsia="zh-CN"/>
              </w:rPr>
              <w:t>oolean</w:t>
            </w:r>
          </w:p>
        </w:tc>
        <w:tc>
          <w:tcPr>
            <w:tcW w:w="361" w:type="dxa"/>
            <w:gridSpan w:val="2"/>
            <w:noWrap w:val="0"/>
            <w:vAlign w:val="top"/>
          </w:tcPr>
          <w:p>
            <w:pPr>
              <w:pStyle w:val="101"/>
              <w:rPr>
                <w:lang w:eastAsia="zh-CN"/>
              </w:rPr>
            </w:pPr>
            <w:r>
              <w:rPr>
                <w:rFonts w:hint="eastAsia"/>
                <w:lang w:eastAsia="zh-CN"/>
              </w:rPr>
              <w:t>O</w:t>
            </w:r>
          </w:p>
        </w:tc>
        <w:tc>
          <w:tcPr>
            <w:tcW w:w="1170" w:type="dxa"/>
            <w:gridSpan w:val="2"/>
            <w:noWrap w:val="0"/>
            <w:vAlign w:val="top"/>
          </w:tcPr>
          <w:p>
            <w:pPr>
              <w:pStyle w:val="101"/>
            </w:pPr>
            <w:r>
              <w:rPr>
                <w:rFonts w:hint="eastAsia"/>
                <w:lang w:eastAsia="zh-CN"/>
              </w:rPr>
              <w:t>0</w:t>
            </w:r>
            <w:r>
              <w:rPr>
                <w:lang w:eastAsia="zh-CN"/>
              </w:rPr>
              <w:t>..1</w:t>
            </w:r>
          </w:p>
        </w:tc>
        <w:tc>
          <w:tcPr>
            <w:tcW w:w="3271" w:type="dxa"/>
            <w:gridSpan w:val="2"/>
            <w:noWrap w:val="0"/>
            <w:vAlign w:val="top"/>
          </w:tcPr>
          <w:p>
            <w:pPr>
              <w:pStyle w:val="102"/>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408" w:type="dxa"/>
            <w:gridSpan w:val="2"/>
            <w:noWrap w:val="0"/>
            <w:vAlign w:val="top"/>
          </w:tcPr>
          <w:p>
            <w:pPr>
              <w:pStyle w:val="102"/>
            </w:pPr>
            <w:r>
              <w:rPr>
                <w:rFonts w:hint="eastAsia"/>
                <w:lang w:eastAsia="zh-CN"/>
              </w:rPr>
              <w:t>D</w:t>
            </w:r>
            <w:r>
              <w:rPr>
                <w:lang w:eastAsia="zh-CN"/>
              </w:rPr>
              <w:t>isableUENotification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contVer</w:t>
            </w:r>
          </w:p>
        </w:tc>
        <w:tc>
          <w:tcPr>
            <w:tcW w:w="1800" w:type="dxa"/>
            <w:gridSpan w:val="2"/>
            <w:noWrap w:val="0"/>
            <w:vAlign w:val="top"/>
          </w:tcPr>
          <w:p>
            <w:pPr>
              <w:pStyle w:val="102"/>
            </w:pPr>
            <w:r>
              <w:t>ContentVersion</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271" w:type="dxa"/>
            <w:gridSpan w:val="2"/>
            <w:noWrap w:val="0"/>
            <w:vAlign w:val="top"/>
          </w:tcPr>
          <w:p>
            <w:pPr>
              <w:pStyle w:val="102"/>
              <w:rPr>
                <w:rFonts w:cs="Arial"/>
                <w:szCs w:val="18"/>
              </w:rPr>
            </w:pPr>
            <w:r>
              <w:rPr>
                <w:rFonts w:cs="Arial"/>
                <w:szCs w:val="18"/>
              </w:rPr>
              <w:t>Represents the content version of a media component.</w:t>
            </w:r>
          </w:p>
        </w:tc>
        <w:tc>
          <w:tcPr>
            <w:tcW w:w="1408" w:type="dxa"/>
            <w:gridSpan w:val="2"/>
            <w:noWrap w:val="0"/>
            <w:vAlign w:val="top"/>
          </w:tcPr>
          <w:p>
            <w:pPr>
              <w:pStyle w:val="102"/>
              <w:rPr>
                <w:rFonts w:cs="Arial"/>
                <w:szCs w:val="18"/>
              </w:rPr>
            </w:pPr>
            <w:r>
              <w:rPr>
                <w:rFonts w:cs="Arial"/>
                <w:szCs w:val="18"/>
              </w:rPr>
              <w:t>MediaComponentVersioning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desMaxLatency</w:t>
            </w:r>
          </w:p>
        </w:tc>
        <w:tc>
          <w:tcPr>
            <w:tcW w:w="1800" w:type="dxa"/>
            <w:gridSpan w:val="2"/>
            <w:noWrap w:val="0"/>
            <w:vAlign w:val="top"/>
          </w:tcPr>
          <w:p>
            <w:pPr>
              <w:pStyle w:val="102"/>
            </w:pPr>
            <w:r>
              <w:t>Float</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271" w:type="dxa"/>
            <w:gridSpan w:val="2"/>
            <w:noWrap w:val="0"/>
            <w:vAlign w:val="top"/>
          </w:tcPr>
          <w:p>
            <w:pPr>
              <w:pStyle w:val="102"/>
              <w:rPr>
                <w:rFonts w:cs="Arial"/>
                <w:szCs w:val="18"/>
              </w:rPr>
            </w:pPr>
            <w:r>
              <w:t>Indicates</w:t>
            </w:r>
            <w:r>
              <w:rPr>
                <w:lang w:eastAsia="zh-CN"/>
              </w:rPr>
              <w:t xml:space="preserve"> a </w:t>
            </w:r>
            <w:r>
              <w:t>maximum desirable transport level packet latency in milliseconds.</w:t>
            </w:r>
          </w:p>
        </w:tc>
        <w:tc>
          <w:tcPr>
            <w:tcW w:w="1408" w:type="dxa"/>
            <w:gridSpan w:val="2"/>
            <w:noWrap w:val="0"/>
            <w:vAlign w:val="top"/>
          </w:tcPr>
          <w:p>
            <w:pPr>
              <w:pStyle w:val="102"/>
              <w:rPr>
                <w:rFonts w:cs="Arial"/>
                <w:szCs w:val="18"/>
              </w:rPr>
            </w:pPr>
            <w:r>
              <w:rPr>
                <w:rFonts w:cs="Arial"/>
                <w:szCs w:val="18"/>
              </w:rPr>
              <w:t>FLUS, QoSHint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desMaxLoss</w:t>
            </w:r>
          </w:p>
        </w:tc>
        <w:tc>
          <w:tcPr>
            <w:tcW w:w="1800" w:type="dxa"/>
            <w:gridSpan w:val="2"/>
            <w:noWrap w:val="0"/>
            <w:vAlign w:val="top"/>
          </w:tcPr>
          <w:p>
            <w:pPr>
              <w:pStyle w:val="102"/>
            </w:pPr>
            <w:r>
              <w:t>Float</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271" w:type="dxa"/>
            <w:gridSpan w:val="2"/>
            <w:noWrap w:val="0"/>
            <w:vAlign w:val="top"/>
          </w:tcPr>
          <w:p>
            <w:pPr>
              <w:pStyle w:val="102"/>
              <w:rPr>
                <w:rFonts w:cs="Arial"/>
                <w:szCs w:val="18"/>
              </w:rPr>
            </w:pPr>
            <w:r>
              <w:t>Indicates the maximum desirable transport level packet loss rate in percent (without "%" sign).</w:t>
            </w:r>
          </w:p>
        </w:tc>
        <w:tc>
          <w:tcPr>
            <w:tcW w:w="1408" w:type="dxa"/>
            <w:gridSpan w:val="2"/>
            <w:noWrap w:val="0"/>
            <w:vAlign w:val="top"/>
          </w:tcPr>
          <w:p>
            <w:pPr>
              <w:pStyle w:val="102"/>
              <w:rPr>
                <w:rFonts w:cs="Arial"/>
                <w:szCs w:val="18"/>
              </w:rPr>
            </w:pPr>
            <w:r>
              <w:rPr>
                <w:rFonts w:cs="Arial"/>
                <w:szCs w:val="18"/>
              </w:rPr>
              <w:t>FLUS, QoSHint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flusId</w:t>
            </w:r>
          </w:p>
        </w:tc>
        <w:tc>
          <w:tcPr>
            <w:tcW w:w="1800" w:type="dxa"/>
            <w:gridSpan w:val="2"/>
            <w:noWrap w:val="0"/>
            <w:vAlign w:val="top"/>
          </w:tcPr>
          <w:p>
            <w:pPr>
              <w:pStyle w:val="102"/>
            </w:pPr>
            <w:r>
              <w:t>string</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271" w:type="dxa"/>
            <w:gridSpan w:val="2"/>
            <w:noWrap w:val="0"/>
            <w:vAlign w:val="top"/>
          </w:tcPr>
          <w:p>
            <w:pPr>
              <w:pStyle w:val="102"/>
              <w:rPr>
                <w:rFonts w:cs="Arial"/>
                <w:szCs w:val="18"/>
              </w:rPr>
            </w:pPr>
            <w:r>
              <w:t>Indicates that the media component is used for FLUS media.</w:t>
            </w:r>
          </w:p>
          <w:p>
            <w:pPr>
              <w:pStyle w:val="102"/>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408" w:type="dxa"/>
            <w:gridSpan w:val="2"/>
            <w:noWrap w:val="0"/>
            <w:vAlign w:val="top"/>
          </w:tcPr>
          <w:p>
            <w:pPr>
              <w:pStyle w:val="102"/>
              <w:rPr>
                <w:rFonts w:cs="Arial"/>
                <w:szCs w:val="18"/>
              </w:rPr>
            </w:pPr>
            <w:r>
              <w:rPr>
                <w:rFonts w:cs="Arial"/>
                <w:szCs w:val="18"/>
              </w:rPr>
              <w:t>FLUS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medCompN</w:t>
            </w:r>
          </w:p>
        </w:tc>
        <w:tc>
          <w:tcPr>
            <w:tcW w:w="1800" w:type="dxa"/>
            <w:gridSpan w:val="2"/>
            <w:noWrap w:val="0"/>
            <w:vAlign w:val="top"/>
          </w:tcPr>
          <w:p>
            <w:pPr>
              <w:pStyle w:val="102"/>
            </w:pPr>
            <w:r>
              <w:t>integer</w:t>
            </w:r>
          </w:p>
        </w:tc>
        <w:tc>
          <w:tcPr>
            <w:tcW w:w="361" w:type="dxa"/>
            <w:gridSpan w:val="2"/>
            <w:noWrap w:val="0"/>
            <w:vAlign w:val="top"/>
          </w:tcPr>
          <w:p>
            <w:pPr>
              <w:pStyle w:val="101"/>
            </w:pPr>
            <w:r>
              <w:t>M</w:t>
            </w:r>
          </w:p>
        </w:tc>
        <w:tc>
          <w:tcPr>
            <w:tcW w:w="1170" w:type="dxa"/>
            <w:gridSpan w:val="2"/>
            <w:noWrap w:val="0"/>
            <w:vAlign w:val="top"/>
          </w:tcPr>
          <w:p>
            <w:pPr>
              <w:pStyle w:val="101"/>
            </w:pPr>
            <w:r>
              <w:t>1</w:t>
            </w:r>
          </w:p>
        </w:tc>
        <w:tc>
          <w:tcPr>
            <w:tcW w:w="3271" w:type="dxa"/>
            <w:gridSpan w:val="2"/>
            <w:noWrap w:val="0"/>
            <w:vAlign w:val="top"/>
          </w:tcPr>
          <w:p>
            <w:pPr>
              <w:pStyle w:val="102"/>
              <w:rPr>
                <w:rFonts w:cs="Arial"/>
                <w:szCs w:val="18"/>
              </w:rPr>
            </w:pPr>
            <w:r>
              <w:rPr>
                <w:rFonts w:cs="Arial"/>
                <w:szCs w:val="18"/>
              </w:rPr>
              <w:t>Identifies the media component number, and it contains the ordinal number of the media component.</w:t>
            </w:r>
          </w:p>
        </w:tc>
        <w:tc>
          <w:tcPr>
            <w:tcW w:w="1408" w:type="dxa"/>
            <w:gridSpan w:val="2"/>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medSubComps</w:t>
            </w:r>
          </w:p>
        </w:tc>
        <w:tc>
          <w:tcPr>
            <w:tcW w:w="1800" w:type="dxa"/>
            <w:gridSpan w:val="2"/>
            <w:noWrap w:val="0"/>
            <w:vAlign w:val="top"/>
          </w:tcPr>
          <w:p>
            <w:pPr>
              <w:pStyle w:val="102"/>
            </w:pPr>
            <w:r>
              <w:t>map(MediaSubComponent)</w:t>
            </w:r>
          </w:p>
        </w:tc>
        <w:tc>
          <w:tcPr>
            <w:tcW w:w="361" w:type="dxa"/>
            <w:gridSpan w:val="2"/>
            <w:noWrap w:val="0"/>
            <w:vAlign w:val="top"/>
          </w:tcPr>
          <w:p>
            <w:pPr>
              <w:pStyle w:val="101"/>
            </w:pPr>
            <w:r>
              <w:t>O</w:t>
            </w:r>
          </w:p>
        </w:tc>
        <w:tc>
          <w:tcPr>
            <w:tcW w:w="1170" w:type="dxa"/>
            <w:gridSpan w:val="2"/>
            <w:noWrap w:val="0"/>
            <w:vAlign w:val="top"/>
          </w:tcPr>
          <w:p>
            <w:pPr>
              <w:pStyle w:val="101"/>
            </w:pPr>
            <w:r>
              <w:t>1..N</w:t>
            </w:r>
          </w:p>
        </w:tc>
        <w:tc>
          <w:tcPr>
            <w:tcW w:w="3271" w:type="dxa"/>
            <w:gridSpan w:val="2"/>
            <w:noWrap w:val="0"/>
            <w:vAlign w:val="top"/>
          </w:tcPr>
          <w:p>
            <w:pPr>
              <w:pStyle w:val="102"/>
            </w:pPr>
            <w:r>
              <w:rPr>
                <w:rFonts w:cs="Arial"/>
                <w:szCs w:val="18"/>
              </w:rPr>
              <w:t xml:space="preserve">Contains the requested bitrate and filters for the set of service data flows identified by their common flow identifier. The key of the map is the attribute </w:t>
            </w:r>
            <w:r>
              <w:t>"fNum".</w:t>
            </w:r>
          </w:p>
          <w:p>
            <w:pPr>
              <w:pStyle w:val="102"/>
              <w:rPr>
                <w:rFonts w:cs="Arial"/>
                <w:szCs w:val="18"/>
              </w:rPr>
            </w:pPr>
            <w:r>
              <w:t>(NOTE 3)</w:t>
            </w:r>
          </w:p>
        </w:tc>
        <w:tc>
          <w:tcPr>
            <w:tcW w:w="1408" w:type="dxa"/>
            <w:gridSpan w:val="2"/>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medType</w:t>
            </w:r>
          </w:p>
        </w:tc>
        <w:tc>
          <w:tcPr>
            <w:tcW w:w="1800" w:type="dxa"/>
            <w:gridSpan w:val="2"/>
            <w:noWrap w:val="0"/>
            <w:vAlign w:val="top"/>
          </w:tcPr>
          <w:p>
            <w:pPr>
              <w:pStyle w:val="102"/>
            </w:pPr>
            <w:r>
              <w:t>MediaType</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271" w:type="dxa"/>
            <w:gridSpan w:val="2"/>
            <w:noWrap w:val="0"/>
            <w:vAlign w:val="top"/>
          </w:tcPr>
          <w:p>
            <w:pPr>
              <w:pStyle w:val="102"/>
              <w:rPr>
                <w:rFonts w:cs="Arial"/>
                <w:szCs w:val="18"/>
              </w:rPr>
            </w:pPr>
            <w:r>
              <w:rPr>
                <w:rFonts w:cs="Arial"/>
                <w:szCs w:val="18"/>
              </w:rPr>
              <w:t>Indicates the media type of the service.</w:t>
            </w:r>
          </w:p>
        </w:tc>
        <w:tc>
          <w:tcPr>
            <w:tcW w:w="1408" w:type="dxa"/>
            <w:gridSpan w:val="2"/>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marBwUl</w:t>
            </w:r>
          </w:p>
        </w:tc>
        <w:tc>
          <w:tcPr>
            <w:tcW w:w="1800" w:type="dxa"/>
            <w:gridSpan w:val="2"/>
            <w:noWrap w:val="0"/>
            <w:vAlign w:val="top"/>
          </w:tcPr>
          <w:p>
            <w:pPr>
              <w:pStyle w:val="102"/>
            </w:pPr>
            <w:r>
              <w:rPr>
                <w:rFonts w:eastAsia="Times New Roman" w:cs="Arial"/>
              </w:rPr>
              <w:t>BitRate</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271" w:type="dxa"/>
            <w:gridSpan w:val="2"/>
            <w:noWrap w:val="0"/>
            <w:vAlign w:val="top"/>
          </w:tcPr>
          <w:p>
            <w:pPr>
              <w:pStyle w:val="102"/>
              <w:rPr>
                <w:rFonts w:cs="Arial"/>
                <w:szCs w:val="18"/>
              </w:rPr>
            </w:pPr>
            <w:r>
              <w:rPr>
                <w:rFonts w:cs="Arial"/>
                <w:szCs w:val="18"/>
              </w:rPr>
              <w:t>Maximum requested bandwidth for the Uplink.</w:t>
            </w:r>
          </w:p>
        </w:tc>
        <w:tc>
          <w:tcPr>
            <w:tcW w:w="1408" w:type="dxa"/>
            <w:gridSpan w:val="2"/>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marBwDl</w:t>
            </w:r>
          </w:p>
        </w:tc>
        <w:tc>
          <w:tcPr>
            <w:tcW w:w="1800" w:type="dxa"/>
            <w:gridSpan w:val="2"/>
            <w:noWrap w:val="0"/>
            <w:vAlign w:val="top"/>
          </w:tcPr>
          <w:p>
            <w:pPr>
              <w:pStyle w:val="102"/>
            </w:pPr>
            <w:r>
              <w:rPr>
                <w:rFonts w:eastAsia="Times New Roman" w:cs="Arial"/>
              </w:rPr>
              <w:t>BitRate</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271" w:type="dxa"/>
            <w:gridSpan w:val="2"/>
            <w:noWrap w:val="0"/>
            <w:vAlign w:val="top"/>
          </w:tcPr>
          <w:p>
            <w:pPr>
              <w:pStyle w:val="102"/>
              <w:rPr>
                <w:rFonts w:cs="Arial"/>
                <w:szCs w:val="18"/>
              </w:rPr>
            </w:pPr>
            <w:r>
              <w:rPr>
                <w:rFonts w:cs="Arial"/>
                <w:szCs w:val="18"/>
              </w:rPr>
              <w:t>Maximum requested bandwidth for the Downlink.</w:t>
            </w:r>
          </w:p>
        </w:tc>
        <w:tc>
          <w:tcPr>
            <w:tcW w:w="1408" w:type="dxa"/>
            <w:gridSpan w:val="2"/>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maxPacketLossRateDl</w:t>
            </w:r>
          </w:p>
        </w:tc>
        <w:tc>
          <w:tcPr>
            <w:tcW w:w="1800" w:type="dxa"/>
            <w:gridSpan w:val="2"/>
            <w:noWrap w:val="0"/>
            <w:vAlign w:val="top"/>
          </w:tcPr>
          <w:p>
            <w:pPr>
              <w:pStyle w:val="102"/>
              <w:rPr>
                <w:rFonts w:eastAsia="Times New Roman" w:cs="Arial"/>
              </w:rPr>
            </w:pPr>
            <w:r>
              <w:t>PacketLossRateRm</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271" w:type="dxa"/>
            <w:gridSpan w:val="2"/>
            <w:noWrap w:val="0"/>
            <w:vAlign w:val="top"/>
          </w:tcPr>
          <w:p>
            <w:pPr>
              <w:pStyle w:val="102"/>
              <w:rPr>
                <w:rFonts w:cs="Arial"/>
                <w:szCs w:val="18"/>
              </w:rPr>
            </w:pPr>
            <w:r>
              <w:rPr>
                <w:rFonts w:cs="Arial"/>
                <w:szCs w:val="18"/>
              </w:rPr>
              <w:t>Indicates the downlink maximum rate for lost packets that can be tolerated for the service data flow.</w:t>
            </w:r>
          </w:p>
        </w:tc>
        <w:tc>
          <w:tcPr>
            <w:tcW w:w="1408" w:type="dxa"/>
            <w:gridSpan w:val="2"/>
            <w:noWrap w:val="0"/>
            <w:vAlign w:val="top"/>
          </w:tcPr>
          <w:p>
            <w:pPr>
              <w:pStyle w:val="102"/>
              <w:rPr>
                <w:rFonts w:cs="Arial"/>
                <w:szCs w:val="18"/>
              </w:rPr>
            </w:pPr>
            <w:r>
              <w:rPr>
                <w:rFonts w:cs="Arial"/>
                <w:szCs w:val="18"/>
              </w:rPr>
              <w:t>CHEM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maxPacketLossRateUl</w:t>
            </w:r>
          </w:p>
        </w:tc>
        <w:tc>
          <w:tcPr>
            <w:tcW w:w="1800" w:type="dxa"/>
            <w:gridSpan w:val="2"/>
            <w:noWrap w:val="0"/>
            <w:vAlign w:val="top"/>
          </w:tcPr>
          <w:p>
            <w:pPr>
              <w:pStyle w:val="102"/>
              <w:rPr>
                <w:rFonts w:eastAsia="Times New Roman" w:cs="Arial"/>
              </w:rPr>
            </w:pPr>
            <w:r>
              <w:t>PacketLossRateRm</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271" w:type="dxa"/>
            <w:gridSpan w:val="2"/>
            <w:noWrap w:val="0"/>
            <w:vAlign w:val="top"/>
          </w:tcPr>
          <w:p>
            <w:pPr>
              <w:pStyle w:val="102"/>
              <w:rPr>
                <w:rFonts w:cs="Arial"/>
                <w:szCs w:val="18"/>
              </w:rPr>
            </w:pPr>
            <w:r>
              <w:rPr>
                <w:rFonts w:cs="Arial"/>
                <w:szCs w:val="18"/>
              </w:rPr>
              <w:t>Indicates the uplink maximum rate for lost packets that can be tolerated for the service data flow.</w:t>
            </w:r>
          </w:p>
        </w:tc>
        <w:tc>
          <w:tcPr>
            <w:tcW w:w="1408" w:type="dxa"/>
            <w:gridSpan w:val="2"/>
            <w:noWrap w:val="0"/>
            <w:vAlign w:val="top"/>
          </w:tcPr>
          <w:p>
            <w:pPr>
              <w:pStyle w:val="102"/>
              <w:rPr>
                <w:rFonts w:cs="Arial"/>
                <w:szCs w:val="18"/>
              </w:rPr>
            </w:pPr>
            <w:r>
              <w:rPr>
                <w:rFonts w:cs="Arial"/>
                <w:szCs w:val="18"/>
              </w:rPr>
              <w:t>CHEM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maxSuppBwDl</w:t>
            </w:r>
          </w:p>
        </w:tc>
        <w:tc>
          <w:tcPr>
            <w:tcW w:w="1800" w:type="dxa"/>
            <w:gridSpan w:val="2"/>
            <w:noWrap w:val="0"/>
            <w:vAlign w:val="top"/>
          </w:tcPr>
          <w:p>
            <w:pPr>
              <w:pStyle w:val="102"/>
              <w:rPr>
                <w:rFonts w:eastAsia="Times New Roman" w:cs="Arial"/>
              </w:rPr>
            </w:pPr>
            <w:r>
              <w:rPr>
                <w:rFonts w:cs="Arial"/>
              </w:rPr>
              <w:t>BitRate</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271" w:type="dxa"/>
            <w:gridSpan w:val="2"/>
            <w:noWrap w:val="0"/>
            <w:vAlign w:val="top"/>
          </w:tcPr>
          <w:p>
            <w:pPr>
              <w:pStyle w:val="102"/>
              <w:rPr>
                <w:rFonts w:cs="Arial"/>
                <w:szCs w:val="18"/>
              </w:rPr>
            </w:pPr>
            <w:r>
              <w:rPr>
                <w:rFonts w:cs="Arial"/>
                <w:szCs w:val="18"/>
              </w:rPr>
              <w:t>Maximum supported bandwidth for the Downlink.</w:t>
            </w:r>
          </w:p>
        </w:tc>
        <w:tc>
          <w:tcPr>
            <w:tcW w:w="1408" w:type="dxa"/>
            <w:gridSpan w:val="2"/>
            <w:noWrap w:val="0"/>
            <w:vAlign w:val="top"/>
          </w:tcPr>
          <w:p>
            <w:pPr>
              <w:pStyle w:val="102"/>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maxSuppBwUl</w:t>
            </w:r>
          </w:p>
        </w:tc>
        <w:tc>
          <w:tcPr>
            <w:tcW w:w="1800" w:type="dxa"/>
            <w:gridSpan w:val="2"/>
            <w:noWrap w:val="0"/>
            <w:vAlign w:val="top"/>
          </w:tcPr>
          <w:p>
            <w:pPr>
              <w:pStyle w:val="102"/>
              <w:rPr>
                <w:rFonts w:eastAsia="Times New Roman" w:cs="Arial"/>
              </w:rPr>
            </w:pPr>
            <w:r>
              <w:rPr>
                <w:rFonts w:cs="Arial"/>
              </w:rPr>
              <w:t>BitRate</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271" w:type="dxa"/>
            <w:gridSpan w:val="2"/>
            <w:noWrap w:val="0"/>
            <w:vAlign w:val="top"/>
          </w:tcPr>
          <w:p>
            <w:pPr>
              <w:pStyle w:val="102"/>
              <w:rPr>
                <w:rFonts w:cs="Arial"/>
                <w:szCs w:val="18"/>
              </w:rPr>
            </w:pPr>
            <w:r>
              <w:rPr>
                <w:rFonts w:cs="Arial"/>
                <w:szCs w:val="18"/>
              </w:rPr>
              <w:t>Maximum supported bandwidth for the Uplink.</w:t>
            </w:r>
          </w:p>
        </w:tc>
        <w:tc>
          <w:tcPr>
            <w:tcW w:w="1408" w:type="dxa"/>
            <w:gridSpan w:val="2"/>
            <w:noWrap w:val="0"/>
            <w:vAlign w:val="top"/>
          </w:tcPr>
          <w:p>
            <w:pPr>
              <w:pStyle w:val="102"/>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minDesBwDl</w:t>
            </w:r>
          </w:p>
        </w:tc>
        <w:tc>
          <w:tcPr>
            <w:tcW w:w="1800" w:type="dxa"/>
            <w:gridSpan w:val="2"/>
            <w:noWrap w:val="0"/>
            <w:vAlign w:val="top"/>
          </w:tcPr>
          <w:p>
            <w:pPr>
              <w:pStyle w:val="102"/>
              <w:rPr>
                <w:rFonts w:cs="Arial"/>
              </w:rPr>
            </w:pPr>
            <w:r>
              <w:rPr>
                <w:rFonts w:cs="Arial"/>
              </w:rPr>
              <w:t>BitRate</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271" w:type="dxa"/>
            <w:gridSpan w:val="2"/>
            <w:noWrap w:val="0"/>
            <w:vAlign w:val="top"/>
          </w:tcPr>
          <w:p>
            <w:pPr>
              <w:pStyle w:val="102"/>
              <w:rPr>
                <w:rFonts w:cs="Arial"/>
                <w:szCs w:val="18"/>
              </w:rPr>
            </w:pPr>
            <w:r>
              <w:rPr>
                <w:rFonts w:cs="Arial"/>
                <w:szCs w:val="18"/>
              </w:rPr>
              <w:t>Minimum desired bandwidth for the Downlink.</w:t>
            </w:r>
          </w:p>
        </w:tc>
        <w:tc>
          <w:tcPr>
            <w:tcW w:w="1408" w:type="dxa"/>
            <w:gridSpan w:val="2"/>
            <w:noWrap w:val="0"/>
            <w:vAlign w:val="top"/>
          </w:tcPr>
          <w:p>
            <w:pPr>
              <w:pStyle w:val="102"/>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minDesBwUl</w:t>
            </w:r>
          </w:p>
        </w:tc>
        <w:tc>
          <w:tcPr>
            <w:tcW w:w="1800" w:type="dxa"/>
            <w:gridSpan w:val="2"/>
            <w:noWrap w:val="0"/>
            <w:vAlign w:val="top"/>
          </w:tcPr>
          <w:p>
            <w:pPr>
              <w:pStyle w:val="102"/>
              <w:rPr>
                <w:rFonts w:cs="Arial"/>
              </w:rPr>
            </w:pPr>
            <w:r>
              <w:rPr>
                <w:rFonts w:cs="Arial"/>
              </w:rPr>
              <w:t>BitRate</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271" w:type="dxa"/>
            <w:gridSpan w:val="2"/>
            <w:noWrap w:val="0"/>
            <w:vAlign w:val="top"/>
          </w:tcPr>
          <w:p>
            <w:pPr>
              <w:pStyle w:val="102"/>
              <w:rPr>
                <w:rFonts w:cs="Arial"/>
                <w:szCs w:val="18"/>
              </w:rPr>
            </w:pPr>
            <w:r>
              <w:rPr>
                <w:rFonts w:cs="Arial"/>
                <w:szCs w:val="18"/>
              </w:rPr>
              <w:t>Minimum desired bandwidth for the Uplink.</w:t>
            </w:r>
          </w:p>
        </w:tc>
        <w:tc>
          <w:tcPr>
            <w:tcW w:w="1408" w:type="dxa"/>
            <w:gridSpan w:val="2"/>
            <w:noWrap w:val="0"/>
            <w:vAlign w:val="top"/>
          </w:tcPr>
          <w:p>
            <w:pPr>
              <w:pStyle w:val="102"/>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mirBwUl</w:t>
            </w:r>
          </w:p>
        </w:tc>
        <w:tc>
          <w:tcPr>
            <w:tcW w:w="1800" w:type="dxa"/>
            <w:gridSpan w:val="2"/>
            <w:noWrap w:val="0"/>
            <w:vAlign w:val="top"/>
          </w:tcPr>
          <w:p>
            <w:pPr>
              <w:pStyle w:val="102"/>
            </w:pPr>
            <w:r>
              <w:rPr>
                <w:rFonts w:eastAsia="Times New Roman" w:cs="Arial"/>
              </w:rPr>
              <w:t>BitRate</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271" w:type="dxa"/>
            <w:gridSpan w:val="2"/>
            <w:noWrap w:val="0"/>
            <w:vAlign w:val="top"/>
          </w:tcPr>
          <w:p>
            <w:pPr>
              <w:pStyle w:val="102"/>
              <w:rPr>
                <w:rFonts w:cs="Arial"/>
                <w:szCs w:val="18"/>
              </w:rPr>
            </w:pPr>
            <w:r>
              <w:rPr>
                <w:rFonts w:cs="Arial"/>
                <w:szCs w:val="18"/>
              </w:rPr>
              <w:t>Minimum requested bandwidth for the Uplink.</w:t>
            </w:r>
          </w:p>
        </w:tc>
        <w:tc>
          <w:tcPr>
            <w:tcW w:w="1408" w:type="dxa"/>
            <w:gridSpan w:val="2"/>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mirBwDl</w:t>
            </w:r>
          </w:p>
        </w:tc>
        <w:tc>
          <w:tcPr>
            <w:tcW w:w="1800" w:type="dxa"/>
            <w:gridSpan w:val="2"/>
            <w:noWrap w:val="0"/>
            <w:vAlign w:val="top"/>
          </w:tcPr>
          <w:p>
            <w:pPr>
              <w:pStyle w:val="102"/>
            </w:pPr>
            <w:r>
              <w:rPr>
                <w:rFonts w:eastAsia="Times New Roman" w:cs="Arial"/>
              </w:rPr>
              <w:t>BitRate</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271" w:type="dxa"/>
            <w:gridSpan w:val="2"/>
            <w:noWrap w:val="0"/>
            <w:vAlign w:val="top"/>
          </w:tcPr>
          <w:p>
            <w:pPr>
              <w:pStyle w:val="102"/>
              <w:rPr>
                <w:rFonts w:cs="Arial"/>
                <w:szCs w:val="18"/>
              </w:rPr>
            </w:pPr>
            <w:r>
              <w:rPr>
                <w:rFonts w:cs="Arial"/>
                <w:szCs w:val="18"/>
              </w:rPr>
              <w:t>Minimum requested bandwidth for the Downlink.</w:t>
            </w:r>
          </w:p>
        </w:tc>
        <w:tc>
          <w:tcPr>
            <w:tcW w:w="1408" w:type="dxa"/>
            <w:gridSpan w:val="2"/>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fStatus</w:t>
            </w:r>
          </w:p>
        </w:tc>
        <w:tc>
          <w:tcPr>
            <w:tcW w:w="1800" w:type="dxa"/>
            <w:gridSpan w:val="2"/>
            <w:noWrap w:val="0"/>
            <w:vAlign w:val="top"/>
          </w:tcPr>
          <w:p>
            <w:pPr>
              <w:pStyle w:val="102"/>
            </w:pPr>
            <w:r>
              <w:t>FlowStatus</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271" w:type="dxa"/>
            <w:gridSpan w:val="2"/>
            <w:noWrap w:val="0"/>
            <w:vAlign w:val="top"/>
          </w:tcPr>
          <w:p>
            <w:pPr>
              <w:pStyle w:val="102"/>
              <w:rPr>
                <w:rFonts w:cs="Arial"/>
                <w:szCs w:val="18"/>
              </w:rPr>
            </w:pPr>
            <w:r>
              <w:rPr>
                <w:rFonts w:cs="Arial"/>
                <w:szCs w:val="18"/>
              </w:rPr>
              <w:t>Indicates whether the status of the service data flows is enabled, or disabled.</w:t>
            </w:r>
          </w:p>
        </w:tc>
        <w:tc>
          <w:tcPr>
            <w:tcW w:w="1408" w:type="dxa"/>
            <w:gridSpan w:val="2"/>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preemptCap</w:t>
            </w:r>
          </w:p>
        </w:tc>
        <w:tc>
          <w:tcPr>
            <w:tcW w:w="1800" w:type="dxa"/>
            <w:gridSpan w:val="2"/>
            <w:noWrap w:val="0"/>
            <w:vAlign w:val="top"/>
          </w:tcPr>
          <w:p>
            <w:pPr>
              <w:pStyle w:val="102"/>
            </w:pPr>
            <w:r>
              <w:t>PreemptionCapability</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271" w:type="dxa"/>
            <w:gridSpan w:val="2"/>
            <w:noWrap w:val="0"/>
            <w:vAlign w:val="top"/>
          </w:tcPr>
          <w:p>
            <w:pPr>
              <w:pStyle w:val="102"/>
              <w:rPr>
                <w:rFonts w:cs="Arial"/>
                <w:szCs w:val="18"/>
              </w:rPr>
            </w:pPr>
            <w:r>
              <w:t>Defines whether the media flow may get resources that were already assigned to another media flow with a lower priority level. It may be included together with "prioSharingInd" for ARP decision.</w:t>
            </w:r>
          </w:p>
        </w:tc>
        <w:tc>
          <w:tcPr>
            <w:tcW w:w="1408" w:type="dxa"/>
            <w:gridSpan w:val="2"/>
            <w:noWrap w:val="0"/>
            <w:vAlign w:val="top"/>
          </w:tcPr>
          <w:p>
            <w:pPr>
              <w:pStyle w:val="102"/>
              <w:rPr>
                <w:rFonts w:cs="Arial"/>
                <w:szCs w:val="18"/>
              </w:rPr>
            </w:pPr>
            <w:r>
              <w:rPr>
                <w:rFonts w:cs="Arial"/>
                <w:szCs w:val="18"/>
              </w:rPr>
              <w:t>MCPTT-Preemption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preemptVuln</w:t>
            </w:r>
          </w:p>
        </w:tc>
        <w:tc>
          <w:tcPr>
            <w:tcW w:w="1800" w:type="dxa"/>
            <w:gridSpan w:val="2"/>
            <w:noWrap w:val="0"/>
            <w:vAlign w:val="top"/>
          </w:tcPr>
          <w:p>
            <w:pPr>
              <w:pStyle w:val="102"/>
            </w:pPr>
            <w:r>
              <w:t>PreemptionVulnerability</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271" w:type="dxa"/>
            <w:gridSpan w:val="2"/>
            <w:noWrap w:val="0"/>
            <w:vAlign w:val="top"/>
          </w:tcPr>
          <w:p>
            <w:pPr>
              <w:pStyle w:val="102"/>
              <w:rPr>
                <w:rFonts w:cs="Arial"/>
                <w:szCs w:val="18"/>
              </w:rPr>
            </w:pPr>
            <w:r>
              <w:t>Defines whether the media flow may lose the resources assigned to it in order to admit a media flow with higher priority level. It may be included together with "prioSharingInd" for ARP decision.</w:t>
            </w:r>
          </w:p>
        </w:tc>
        <w:tc>
          <w:tcPr>
            <w:tcW w:w="1408" w:type="dxa"/>
            <w:gridSpan w:val="2"/>
            <w:noWrap w:val="0"/>
            <w:vAlign w:val="top"/>
          </w:tcPr>
          <w:p>
            <w:pPr>
              <w:pStyle w:val="102"/>
              <w:rPr>
                <w:rFonts w:cs="Arial"/>
                <w:szCs w:val="18"/>
              </w:rPr>
            </w:pPr>
            <w:r>
              <w:rPr>
                <w:rFonts w:cs="Arial"/>
                <w:szCs w:val="18"/>
              </w:rPr>
              <w:t>MCPTT-Preemption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prioSharingInd</w:t>
            </w:r>
          </w:p>
        </w:tc>
        <w:tc>
          <w:tcPr>
            <w:tcW w:w="1800" w:type="dxa"/>
            <w:gridSpan w:val="2"/>
            <w:noWrap w:val="0"/>
            <w:vAlign w:val="top"/>
          </w:tcPr>
          <w:p>
            <w:pPr>
              <w:pStyle w:val="102"/>
            </w:pPr>
            <w:r>
              <w:t>PrioritySharingIndicator</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271" w:type="dxa"/>
            <w:gridSpan w:val="2"/>
            <w:noWrap w:val="0"/>
            <w:vAlign w:val="top"/>
          </w:tcPr>
          <w:p>
            <w:pPr>
              <w:pStyle w:val="102"/>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408" w:type="dxa"/>
            <w:gridSpan w:val="2"/>
            <w:noWrap w:val="0"/>
            <w:vAlign w:val="top"/>
          </w:tcPr>
          <w:p>
            <w:pPr>
              <w:pStyle w:val="102"/>
              <w:rPr>
                <w:rFonts w:cs="Arial"/>
                <w:szCs w:val="18"/>
              </w:rPr>
            </w:pPr>
            <w:r>
              <w:rPr>
                <w:rFonts w:cs="Arial"/>
                <w:szCs w:val="18"/>
              </w:rPr>
              <w:t>PrioritySharing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resPrio</w:t>
            </w:r>
          </w:p>
        </w:tc>
        <w:tc>
          <w:tcPr>
            <w:tcW w:w="1800" w:type="dxa"/>
            <w:gridSpan w:val="2"/>
            <w:noWrap w:val="0"/>
            <w:vAlign w:val="top"/>
          </w:tcPr>
          <w:p>
            <w:pPr>
              <w:pStyle w:val="102"/>
            </w:pPr>
            <w:r>
              <w:t>ReservPriority</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271" w:type="dxa"/>
            <w:gridSpan w:val="2"/>
            <w:noWrap w:val="0"/>
            <w:vAlign w:val="top"/>
          </w:tcPr>
          <w:p>
            <w:pPr>
              <w:pStyle w:val="102"/>
              <w:rPr>
                <w:rFonts w:cs="Arial"/>
                <w:szCs w:val="18"/>
              </w:rPr>
            </w:pPr>
            <w:r>
              <w:rPr>
                <w:rFonts w:cs="Arial"/>
                <w:szCs w:val="18"/>
              </w:rPr>
              <w:t>Indicates the reservation priority.</w:t>
            </w:r>
          </w:p>
        </w:tc>
        <w:tc>
          <w:tcPr>
            <w:tcW w:w="1408" w:type="dxa"/>
            <w:gridSpan w:val="2"/>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rrBw</w:t>
            </w:r>
          </w:p>
        </w:tc>
        <w:tc>
          <w:tcPr>
            <w:tcW w:w="1800" w:type="dxa"/>
            <w:gridSpan w:val="2"/>
            <w:noWrap w:val="0"/>
            <w:vAlign w:val="top"/>
          </w:tcPr>
          <w:p>
            <w:pPr>
              <w:pStyle w:val="102"/>
            </w:pPr>
            <w:r>
              <w:t>BitRate</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271" w:type="dxa"/>
            <w:gridSpan w:val="2"/>
            <w:noWrap w:val="0"/>
            <w:vAlign w:val="top"/>
          </w:tcPr>
          <w:p>
            <w:pPr>
              <w:pStyle w:val="102"/>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8" w:type="dxa"/>
            <w:gridSpan w:val="2"/>
            <w:noWrap w:val="0"/>
            <w:vAlign w:val="top"/>
          </w:tcPr>
          <w:p>
            <w:pPr>
              <w:pStyle w:val="102"/>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rsBw</w:t>
            </w:r>
          </w:p>
        </w:tc>
        <w:tc>
          <w:tcPr>
            <w:tcW w:w="1800" w:type="dxa"/>
            <w:gridSpan w:val="2"/>
            <w:noWrap w:val="0"/>
            <w:vAlign w:val="top"/>
          </w:tcPr>
          <w:p>
            <w:pPr>
              <w:pStyle w:val="102"/>
            </w:pPr>
            <w:r>
              <w:t>BitRate</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271" w:type="dxa"/>
            <w:gridSpan w:val="2"/>
            <w:noWrap w:val="0"/>
            <w:vAlign w:val="top"/>
          </w:tcPr>
          <w:p>
            <w:pPr>
              <w:pStyle w:val="102"/>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8" w:type="dxa"/>
            <w:gridSpan w:val="2"/>
            <w:noWrap w:val="0"/>
            <w:vAlign w:val="top"/>
          </w:tcPr>
          <w:p>
            <w:pPr>
              <w:pStyle w:val="102"/>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sharingKeyDl</w:t>
            </w:r>
          </w:p>
        </w:tc>
        <w:tc>
          <w:tcPr>
            <w:tcW w:w="1800" w:type="dxa"/>
            <w:gridSpan w:val="2"/>
            <w:noWrap w:val="0"/>
            <w:vAlign w:val="top"/>
          </w:tcPr>
          <w:p>
            <w:pPr>
              <w:pStyle w:val="102"/>
            </w:pPr>
            <w:r>
              <w:t>Uint32</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271" w:type="dxa"/>
            <w:gridSpan w:val="2"/>
            <w:noWrap w:val="0"/>
            <w:vAlign w:val="top"/>
          </w:tcPr>
          <w:p>
            <w:pPr>
              <w:pStyle w:val="102"/>
              <w:rPr>
                <w:rFonts w:cs="Arial"/>
                <w:szCs w:val="18"/>
              </w:rPr>
            </w:pPr>
            <w:r>
              <w:rPr>
                <w:rFonts w:cs="Arial"/>
                <w:szCs w:val="18"/>
              </w:rPr>
              <w:t>Identifies which media components share resources in the downlink direction.</w:t>
            </w:r>
          </w:p>
          <w:p>
            <w:pPr>
              <w:pStyle w:val="102"/>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sharingKeyDl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sharingKeyDl</w:t>
            </w:r>
            <w:r>
              <w:t>"</w:t>
            </w:r>
            <w:r>
              <w:rPr>
                <w:rFonts w:cs="Arial"/>
                <w:szCs w:val="18"/>
              </w:rPr>
              <w:t xml:space="preserve"> attribute shall be used.</w:t>
            </w:r>
          </w:p>
        </w:tc>
        <w:tc>
          <w:tcPr>
            <w:tcW w:w="1408" w:type="dxa"/>
            <w:gridSpan w:val="2"/>
            <w:noWrap w:val="0"/>
            <w:vAlign w:val="top"/>
          </w:tcPr>
          <w:p>
            <w:pPr>
              <w:pStyle w:val="102"/>
              <w:rPr>
                <w:rFonts w:cs="Arial"/>
                <w:szCs w:val="18"/>
              </w:rPr>
            </w:pPr>
            <w:r>
              <w:rPr>
                <w:rFonts w:cs="Arial"/>
                <w:szCs w:val="18"/>
              </w:rPr>
              <w:t>ResourceSharing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sharingKeyUl</w:t>
            </w:r>
          </w:p>
        </w:tc>
        <w:tc>
          <w:tcPr>
            <w:tcW w:w="1800" w:type="dxa"/>
            <w:gridSpan w:val="2"/>
            <w:noWrap w:val="0"/>
            <w:vAlign w:val="top"/>
          </w:tcPr>
          <w:p>
            <w:pPr>
              <w:pStyle w:val="102"/>
            </w:pPr>
            <w:r>
              <w:t>Uint32</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271" w:type="dxa"/>
            <w:gridSpan w:val="2"/>
            <w:noWrap w:val="0"/>
            <w:vAlign w:val="top"/>
          </w:tcPr>
          <w:p>
            <w:pPr>
              <w:pStyle w:val="102"/>
              <w:rPr>
                <w:rFonts w:cs="Arial"/>
                <w:szCs w:val="18"/>
              </w:rPr>
            </w:pPr>
            <w:r>
              <w:rPr>
                <w:rFonts w:cs="Arial"/>
                <w:szCs w:val="18"/>
              </w:rPr>
              <w:t>Identifies which media components share resources in the uplink direction.</w:t>
            </w:r>
          </w:p>
          <w:p>
            <w:pPr>
              <w:pStyle w:val="102"/>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sharingKeyUl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sharingKeyUl</w:t>
            </w:r>
            <w:r>
              <w:t>"</w:t>
            </w:r>
            <w:r>
              <w:rPr>
                <w:rFonts w:cs="Arial"/>
                <w:szCs w:val="18"/>
              </w:rPr>
              <w:t xml:space="preserve"> attribute shall be used.</w:t>
            </w:r>
          </w:p>
        </w:tc>
        <w:tc>
          <w:tcPr>
            <w:tcW w:w="1408" w:type="dxa"/>
            <w:gridSpan w:val="2"/>
            <w:noWrap w:val="0"/>
            <w:vAlign w:val="top"/>
          </w:tcPr>
          <w:p>
            <w:pPr>
              <w:pStyle w:val="102"/>
              <w:rPr>
                <w:rFonts w:cs="Arial"/>
                <w:szCs w:val="18"/>
              </w:rPr>
            </w:pPr>
            <w:r>
              <w:rPr>
                <w:rFonts w:cs="Arial"/>
                <w:szCs w:val="18"/>
              </w:rPr>
              <w:t>ResourceSharing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codecs</w:t>
            </w:r>
          </w:p>
        </w:tc>
        <w:tc>
          <w:tcPr>
            <w:tcW w:w="1800" w:type="dxa"/>
            <w:gridSpan w:val="2"/>
            <w:noWrap w:val="0"/>
            <w:vAlign w:val="top"/>
          </w:tcPr>
          <w:p>
            <w:pPr>
              <w:pStyle w:val="102"/>
            </w:pPr>
            <w:r>
              <w:t>array(CodecData)</w:t>
            </w:r>
          </w:p>
        </w:tc>
        <w:tc>
          <w:tcPr>
            <w:tcW w:w="361" w:type="dxa"/>
            <w:gridSpan w:val="2"/>
            <w:noWrap w:val="0"/>
            <w:vAlign w:val="top"/>
          </w:tcPr>
          <w:p>
            <w:pPr>
              <w:pStyle w:val="101"/>
            </w:pPr>
            <w:r>
              <w:t>O</w:t>
            </w:r>
          </w:p>
        </w:tc>
        <w:tc>
          <w:tcPr>
            <w:tcW w:w="1170" w:type="dxa"/>
            <w:gridSpan w:val="2"/>
            <w:noWrap w:val="0"/>
            <w:vAlign w:val="top"/>
          </w:tcPr>
          <w:p>
            <w:pPr>
              <w:pStyle w:val="101"/>
            </w:pPr>
            <w:r>
              <w:t>1..2</w:t>
            </w:r>
          </w:p>
        </w:tc>
        <w:tc>
          <w:tcPr>
            <w:tcW w:w="3271" w:type="dxa"/>
            <w:gridSpan w:val="2"/>
            <w:noWrap w:val="0"/>
            <w:vAlign w:val="top"/>
          </w:tcPr>
          <w:p>
            <w:pPr>
              <w:pStyle w:val="102"/>
              <w:rPr>
                <w:rFonts w:cs="Arial"/>
                <w:szCs w:val="18"/>
              </w:rPr>
            </w:pPr>
            <w:r>
              <w:rPr>
                <w:rFonts w:cs="Arial"/>
                <w:szCs w:val="18"/>
              </w:rPr>
              <w:t>Indicates the codec data.</w:t>
            </w:r>
          </w:p>
        </w:tc>
        <w:tc>
          <w:tcPr>
            <w:tcW w:w="1408" w:type="dxa"/>
            <w:gridSpan w:val="2"/>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tsnQos</w:t>
            </w:r>
          </w:p>
        </w:tc>
        <w:tc>
          <w:tcPr>
            <w:tcW w:w="1800" w:type="dxa"/>
            <w:gridSpan w:val="2"/>
            <w:noWrap w:val="0"/>
            <w:vAlign w:val="top"/>
          </w:tcPr>
          <w:p>
            <w:pPr>
              <w:pStyle w:val="102"/>
            </w:pPr>
            <w:r>
              <w:t>TsnQoSContainer</w:t>
            </w:r>
          </w:p>
        </w:tc>
        <w:tc>
          <w:tcPr>
            <w:tcW w:w="361" w:type="dxa"/>
            <w:gridSpan w:val="2"/>
            <w:noWrap w:val="0"/>
            <w:vAlign w:val="top"/>
          </w:tcPr>
          <w:p>
            <w:pPr>
              <w:pStyle w:val="101"/>
            </w:pPr>
            <w:r>
              <w:t>O</w:t>
            </w:r>
          </w:p>
        </w:tc>
        <w:tc>
          <w:tcPr>
            <w:tcW w:w="1170" w:type="dxa"/>
            <w:gridSpan w:val="2"/>
            <w:noWrap w:val="0"/>
            <w:vAlign w:val="top"/>
          </w:tcPr>
          <w:p>
            <w:pPr>
              <w:pStyle w:val="101"/>
            </w:pPr>
            <w:r>
              <w:rPr>
                <w:lang w:eastAsia="zh-CN"/>
              </w:rPr>
              <w:t>0..1</w:t>
            </w:r>
          </w:p>
        </w:tc>
        <w:tc>
          <w:tcPr>
            <w:tcW w:w="3271" w:type="dxa"/>
            <w:gridSpan w:val="2"/>
            <w:noWrap w:val="0"/>
            <w:vAlign w:val="top"/>
          </w:tcPr>
          <w:p>
            <w:pPr>
              <w:pStyle w:val="102"/>
              <w:rPr>
                <w:rFonts w:cs="Arial"/>
                <w:szCs w:val="18"/>
              </w:rPr>
            </w:pPr>
            <w:r>
              <w:t>Transports QoS parameters for TSC traffic.</w:t>
            </w:r>
          </w:p>
        </w:tc>
        <w:tc>
          <w:tcPr>
            <w:tcW w:w="1408" w:type="dxa"/>
            <w:gridSpan w:val="2"/>
            <w:noWrap w:val="0"/>
            <w:vAlign w:val="top"/>
          </w:tcPr>
          <w:p>
            <w:pPr>
              <w:pStyle w:val="102"/>
            </w:pPr>
            <w:r>
              <w:t>TimeSensitiveNetworking</w:t>
            </w:r>
          </w:p>
          <w:p>
            <w:pPr>
              <w:pStyle w:val="102"/>
              <w:rPr>
                <w:rFonts w:cs="Arial"/>
                <w:szCs w:val="18"/>
              </w:rPr>
            </w:pPr>
            <w:ins w:id="4" w:author="CMCC" w:date="2024-04-08T11:08:26Z">
              <w:r>
                <w:rPr>
                  <w:rFonts w:cs="Arial"/>
                  <w:szCs w:val="18"/>
                </w:rPr>
                <w:t>MultiMedia</w:t>
              </w:r>
            </w:ins>
            <w:del w:id="5" w:author="CMCC" w:date="2024-04-08T11:08:26Z">
              <w:r>
                <w:rPr/>
                <w:delText>XRM_5G</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tscaiInputUl</w:t>
            </w:r>
          </w:p>
        </w:tc>
        <w:tc>
          <w:tcPr>
            <w:tcW w:w="1800" w:type="dxa"/>
            <w:gridSpan w:val="2"/>
            <w:noWrap w:val="0"/>
            <w:vAlign w:val="top"/>
          </w:tcPr>
          <w:p>
            <w:pPr>
              <w:pStyle w:val="102"/>
            </w:pPr>
            <w:r>
              <w:t>TscaiInputContainer</w:t>
            </w:r>
          </w:p>
        </w:tc>
        <w:tc>
          <w:tcPr>
            <w:tcW w:w="361" w:type="dxa"/>
            <w:gridSpan w:val="2"/>
            <w:noWrap w:val="0"/>
            <w:vAlign w:val="top"/>
          </w:tcPr>
          <w:p>
            <w:pPr>
              <w:pStyle w:val="101"/>
            </w:pPr>
            <w:r>
              <w:t>O</w:t>
            </w:r>
          </w:p>
        </w:tc>
        <w:tc>
          <w:tcPr>
            <w:tcW w:w="1170" w:type="dxa"/>
            <w:gridSpan w:val="2"/>
            <w:noWrap w:val="0"/>
            <w:vAlign w:val="top"/>
          </w:tcPr>
          <w:p>
            <w:pPr>
              <w:pStyle w:val="101"/>
              <w:rPr>
                <w:lang w:eastAsia="zh-CN"/>
              </w:rPr>
            </w:pPr>
            <w:r>
              <w:rPr>
                <w:lang w:eastAsia="zh-CN"/>
              </w:rPr>
              <w:t>0..1</w:t>
            </w:r>
          </w:p>
        </w:tc>
        <w:tc>
          <w:tcPr>
            <w:tcW w:w="3271" w:type="dxa"/>
            <w:gridSpan w:val="2"/>
            <w:noWrap w:val="0"/>
            <w:vAlign w:val="top"/>
          </w:tcPr>
          <w:p>
            <w:pPr>
              <w:pStyle w:val="102"/>
            </w:pPr>
            <w:r>
              <w:t>Transports TSCAI input parameters for TSC traffic</w:t>
            </w:r>
            <w:r>
              <w:rPr>
                <w:rFonts w:cs="Arial"/>
                <w:szCs w:val="18"/>
              </w:rPr>
              <w:t xml:space="preserve"> at the ingress interface of the DS-TT/UE (uplink flow direction)</w:t>
            </w:r>
            <w:r>
              <w:t>. (NOTE 2)</w:t>
            </w:r>
          </w:p>
        </w:tc>
        <w:tc>
          <w:tcPr>
            <w:tcW w:w="1408" w:type="dxa"/>
            <w:gridSpan w:val="2"/>
            <w:noWrap w:val="0"/>
            <w:vAlign w:val="top"/>
          </w:tcPr>
          <w:p>
            <w:pPr>
              <w:pStyle w:val="102"/>
            </w:pPr>
            <w: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tscaiInputDl</w:t>
            </w:r>
          </w:p>
        </w:tc>
        <w:tc>
          <w:tcPr>
            <w:tcW w:w="1800" w:type="dxa"/>
            <w:gridSpan w:val="2"/>
            <w:noWrap w:val="0"/>
            <w:vAlign w:val="top"/>
          </w:tcPr>
          <w:p>
            <w:pPr>
              <w:pStyle w:val="102"/>
            </w:pPr>
            <w:r>
              <w:t>TscaiInputContainer</w:t>
            </w:r>
          </w:p>
        </w:tc>
        <w:tc>
          <w:tcPr>
            <w:tcW w:w="361" w:type="dxa"/>
            <w:gridSpan w:val="2"/>
            <w:noWrap w:val="0"/>
            <w:vAlign w:val="top"/>
          </w:tcPr>
          <w:p>
            <w:pPr>
              <w:pStyle w:val="101"/>
            </w:pPr>
            <w:r>
              <w:t>O</w:t>
            </w:r>
          </w:p>
        </w:tc>
        <w:tc>
          <w:tcPr>
            <w:tcW w:w="1170" w:type="dxa"/>
            <w:gridSpan w:val="2"/>
            <w:noWrap w:val="0"/>
            <w:vAlign w:val="top"/>
          </w:tcPr>
          <w:p>
            <w:pPr>
              <w:pStyle w:val="101"/>
              <w:rPr>
                <w:lang w:eastAsia="zh-CN"/>
              </w:rPr>
            </w:pPr>
            <w:r>
              <w:rPr>
                <w:lang w:eastAsia="zh-CN"/>
              </w:rPr>
              <w:t>0..1</w:t>
            </w:r>
          </w:p>
        </w:tc>
        <w:tc>
          <w:tcPr>
            <w:tcW w:w="3271" w:type="dxa"/>
            <w:gridSpan w:val="2"/>
            <w:noWrap w:val="0"/>
            <w:vAlign w:val="top"/>
          </w:tcPr>
          <w:p>
            <w:pPr>
              <w:pStyle w:val="102"/>
            </w:pPr>
            <w:r>
              <w:t>Transports TSCAI input parameters for TSC traffic</w:t>
            </w:r>
            <w:r>
              <w:rPr>
                <w:rFonts w:cs="Arial"/>
                <w:szCs w:val="18"/>
              </w:rPr>
              <w:t xml:space="preserve"> at the ingress of the NW-TT (downlink flow direction)</w:t>
            </w:r>
            <w:r>
              <w:t>. (NOTE 2)</w:t>
            </w:r>
          </w:p>
        </w:tc>
        <w:tc>
          <w:tcPr>
            <w:tcW w:w="1408" w:type="dxa"/>
            <w:gridSpan w:val="2"/>
            <w:noWrap w:val="0"/>
            <w:vAlign w:val="top"/>
          </w:tcPr>
          <w:p>
            <w:pPr>
              <w:pStyle w:val="102"/>
            </w:pPr>
            <w: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tscaiTimeDom</w:t>
            </w:r>
          </w:p>
        </w:tc>
        <w:tc>
          <w:tcPr>
            <w:tcW w:w="1800" w:type="dxa"/>
            <w:gridSpan w:val="2"/>
            <w:noWrap w:val="0"/>
            <w:vAlign w:val="top"/>
          </w:tcPr>
          <w:p>
            <w:pPr>
              <w:pStyle w:val="102"/>
            </w:pPr>
            <w:r>
              <w:rPr>
                <w:rFonts w:hint="eastAsia"/>
                <w:lang w:eastAsia="zh-CN"/>
              </w:rPr>
              <w:t>U</w:t>
            </w:r>
            <w:r>
              <w:rPr>
                <w:lang w:eastAsia="zh-CN"/>
              </w:rPr>
              <w:t>integer</w:t>
            </w:r>
          </w:p>
        </w:tc>
        <w:tc>
          <w:tcPr>
            <w:tcW w:w="361" w:type="dxa"/>
            <w:gridSpan w:val="2"/>
            <w:noWrap w:val="0"/>
            <w:vAlign w:val="top"/>
          </w:tcPr>
          <w:p>
            <w:pPr>
              <w:pStyle w:val="101"/>
            </w:pPr>
            <w:r>
              <w:rPr>
                <w:rFonts w:hint="eastAsia"/>
                <w:lang w:eastAsia="zh-CN"/>
              </w:rPr>
              <w:t>O</w:t>
            </w:r>
          </w:p>
        </w:tc>
        <w:tc>
          <w:tcPr>
            <w:tcW w:w="1170" w:type="dxa"/>
            <w:gridSpan w:val="2"/>
            <w:noWrap w:val="0"/>
            <w:vAlign w:val="top"/>
          </w:tcPr>
          <w:p>
            <w:pPr>
              <w:pStyle w:val="101"/>
              <w:rPr>
                <w:lang w:eastAsia="zh-CN"/>
              </w:rPr>
            </w:pPr>
            <w:r>
              <w:rPr>
                <w:rFonts w:hint="eastAsia"/>
                <w:lang w:eastAsia="zh-CN"/>
              </w:rPr>
              <w:t>0</w:t>
            </w:r>
            <w:r>
              <w:rPr>
                <w:lang w:eastAsia="zh-CN"/>
              </w:rPr>
              <w:t>..1</w:t>
            </w:r>
          </w:p>
        </w:tc>
        <w:tc>
          <w:tcPr>
            <w:tcW w:w="3271" w:type="dxa"/>
            <w:gridSpan w:val="2"/>
            <w:noWrap w:val="0"/>
            <w:vAlign w:val="top"/>
          </w:tcPr>
          <w:p>
            <w:pPr>
              <w:pStyle w:val="102"/>
            </w:pPr>
            <w:r>
              <w:rPr>
                <w:lang w:eastAsia="zh-CN"/>
              </w:rPr>
              <w:t>Indicates the (g)PTP domain that the (TSN)AF is located in.</w:t>
            </w:r>
          </w:p>
        </w:tc>
        <w:tc>
          <w:tcPr>
            <w:tcW w:w="1408" w:type="dxa"/>
            <w:gridSpan w:val="2"/>
            <w:noWrap w:val="0"/>
            <w:vAlign w:val="top"/>
          </w:tcPr>
          <w:p>
            <w:pPr>
              <w:pStyle w:val="102"/>
            </w:pPr>
            <w:r>
              <w:rPr>
                <w:lang w:eastAsia="zh-CN"/>
              </w:rPr>
              <w:t>TimeSensitive</w:t>
            </w:r>
            <w:r>
              <w:t>Communication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capBatAdaptation</w:t>
            </w:r>
          </w:p>
        </w:tc>
        <w:tc>
          <w:tcPr>
            <w:tcW w:w="1800" w:type="dxa"/>
            <w:gridSpan w:val="2"/>
            <w:noWrap w:val="0"/>
            <w:vAlign w:val="top"/>
          </w:tcPr>
          <w:p>
            <w:pPr>
              <w:pStyle w:val="102"/>
              <w:rPr>
                <w:rFonts w:hint="eastAsia"/>
                <w:lang w:eastAsia="zh-CN"/>
              </w:rPr>
            </w:pPr>
            <w:r>
              <w:rPr>
                <w:lang w:eastAsia="zh-CN"/>
              </w:rPr>
              <w:t>boolean</w:t>
            </w:r>
          </w:p>
        </w:tc>
        <w:tc>
          <w:tcPr>
            <w:tcW w:w="361" w:type="dxa"/>
            <w:gridSpan w:val="2"/>
            <w:noWrap w:val="0"/>
            <w:vAlign w:val="top"/>
          </w:tcPr>
          <w:p>
            <w:pPr>
              <w:pStyle w:val="101"/>
              <w:rPr>
                <w:rFonts w:hint="eastAsia"/>
                <w:lang w:eastAsia="zh-CN"/>
              </w:rPr>
            </w:pPr>
            <w:r>
              <w:rPr>
                <w:lang w:eastAsia="zh-CN"/>
              </w:rPr>
              <w:t>O</w:t>
            </w:r>
          </w:p>
        </w:tc>
        <w:tc>
          <w:tcPr>
            <w:tcW w:w="1170" w:type="dxa"/>
            <w:gridSpan w:val="2"/>
            <w:noWrap w:val="0"/>
            <w:vAlign w:val="top"/>
          </w:tcPr>
          <w:p>
            <w:pPr>
              <w:pStyle w:val="101"/>
              <w:rPr>
                <w:rFonts w:hint="eastAsia"/>
                <w:lang w:eastAsia="zh-CN"/>
              </w:rPr>
            </w:pPr>
            <w:r>
              <w:rPr>
                <w:lang w:eastAsia="zh-CN"/>
              </w:rPr>
              <w:t>0..1</w:t>
            </w:r>
          </w:p>
        </w:tc>
        <w:tc>
          <w:tcPr>
            <w:tcW w:w="3271" w:type="dxa"/>
            <w:gridSpan w:val="2"/>
            <w:noWrap w:val="0"/>
            <w:vAlign w:val="top"/>
          </w:tcPr>
          <w:p>
            <w:pPr>
              <w:pStyle w:val="102"/>
            </w:pPr>
            <w:r>
              <w:t>Indicates the capability for AF to adjust the burst sending time, when it is supported and set to "true".</w:t>
            </w:r>
          </w:p>
          <w:p>
            <w:pPr>
              <w:pStyle w:val="102"/>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pPr>
              <w:pStyle w:val="102"/>
              <w:rPr>
                <w:lang w:eastAsia="zh-CN"/>
              </w:rPr>
            </w:pPr>
            <w:r>
              <w:t>(NOTE 2)</w:t>
            </w:r>
          </w:p>
        </w:tc>
        <w:tc>
          <w:tcPr>
            <w:tcW w:w="1408" w:type="dxa"/>
            <w:gridSpan w:val="2"/>
            <w:noWrap w:val="0"/>
            <w:vAlign w:val="top"/>
          </w:tcPr>
          <w:p>
            <w:pPr>
              <w:pStyle w:val="102"/>
              <w:rPr>
                <w:lang w:eastAsia="zh-CN"/>
              </w:rPr>
            </w:pPr>
            <w:r>
              <w:rPr>
                <w:lang w:val="en-US"/>
              </w:rPr>
              <w:t>EnTSCAC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rPr>
                <w:rFonts w:hint="eastAsia"/>
                <w:lang w:eastAsia="zh-CN"/>
              </w:rPr>
              <w:t>r</w:t>
            </w:r>
            <w:r>
              <w:rPr>
                <w:lang w:eastAsia="zh-CN"/>
              </w:rPr>
              <w:t>TLatencyInd</w:t>
            </w:r>
          </w:p>
        </w:tc>
        <w:tc>
          <w:tcPr>
            <w:tcW w:w="1800" w:type="dxa"/>
            <w:gridSpan w:val="2"/>
            <w:noWrap w:val="0"/>
            <w:vAlign w:val="top"/>
          </w:tcPr>
          <w:p>
            <w:pPr>
              <w:pStyle w:val="102"/>
              <w:rPr>
                <w:lang w:eastAsia="zh-CN"/>
              </w:rPr>
            </w:pPr>
            <w:r>
              <w:rPr>
                <w:lang w:eastAsia="zh-CN"/>
              </w:rPr>
              <w:t>boolean</w:t>
            </w:r>
          </w:p>
        </w:tc>
        <w:tc>
          <w:tcPr>
            <w:tcW w:w="361" w:type="dxa"/>
            <w:gridSpan w:val="2"/>
            <w:noWrap w:val="0"/>
            <w:vAlign w:val="top"/>
          </w:tcPr>
          <w:p>
            <w:pPr>
              <w:pStyle w:val="101"/>
              <w:rPr>
                <w:lang w:eastAsia="zh-CN"/>
              </w:rPr>
            </w:pPr>
            <w:r>
              <w:rPr>
                <w:lang w:eastAsia="zh-CN"/>
              </w:rPr>
              <w:t>O</w:t>
            </w:r>
          </w:p>
        </w:tc>
        <w:tc>
          <w:tcPr>
            <w:tcW w:w="1170" w:type="dxa"/>
            <w:gridSpan w:val="2"/>
            <w:noWrap w:val="0"/>
            <w:vAlign w:val="top"/>
          </w:tcPr>
          <w:p>
            <w:pPr>
              <w:pStyle w:val="101"/>
              <w:rPr>
                <w:lang w:eastAsia="zh-CN"/>
              </w:rPr>
            </w:pPr>
            <w:r>
              <w:rPr>
                <w:lang w:eastAsia="zh-CN"/>
              </w:rPr>
              <w:t>0..1</w:t>
            </w:r>
          </w:p>
        </w:tc>
        <w:tc>
          <w:tcPr>
            <w:tcW w:w="3271" w:type="dxa"/>
            <w:gridSpan w:val="2"/>
            <w:noWrap w:val="0"/>
            <w:vAlign w:val="top"/>
          </w:tcPr>
          <w:p>
            <w:pPr>
              <w:pStyle w:val="102"/>
            </w:pPr>
            <w:r>
              <w:t>Indicates the service data flow needs to meet the Round-Trip (RT) latency requirement of the service, when it is included and set to "true".</w:t>
            </w:r>
          </w:p>
          <w:p>
            <w:pPr>
              <w:pStyle w:val="102"/>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tc>
        <w:tc>
          <w:tcPr>
            <w:tcW w:w="1408" w:type="dxa"/>
            <w:gridSpan w:val="2"/>
            <w:noWrap w:val="0"/>
            <w:vAlign w:val="top"/>
          </w:tcPr>
          <w:p>
            <w:pPr>
              <w:pStyle w:val="102"/>
              <w:rPr>
                <w:lang w:val="en-US"/>
              </w:rPr>
            </w:pPr>
            <w:r>
              <w:rPr>
                <w:rFonts w:hint="eastAsia" w:cs="Arial"/>
                <w:lang w:eastAsia="zh-CN"/>
              </w:rPr>
              <w:t>R</w:t>
            </w:r>
            <w:r>
              <w:rPr>
                <w:rFonts w:cs="Arial"/>
                <w:lang w:eastAsia="zh-CN"/>
              </w:rPr>
              <w:t>TLatency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rPr>
                <w:rFonts w:hint="eastAsia"/>
                <w:lang w:eastAsia="zh-CN"/>
              </w:rPr>
            </w:pPr>
            <w:r>
              <w:rPr>
                <w:lang w:val="en-US" w:eastAsia="zh-CN"/>
              </w:rPr>
              <w:t>p</w:t>
            </w:r>
            <w:r>
              <w:rPr>
                <w:rFonts w:hint="eastAsia"/>
                <w:lang w:val="en-US" w:eastAsia="zh-CN"/>
              </w:rPr>
              <w:t>duSet</w:t>
            </w:r>
            <w:r>
              <w:t>Qo</w:t>
            </w:r>
            <w:r>
              <w:rPr>
                <w:rFonts w:hint="eastAsia"/>
                <w:lang w:val="en-US" w:eastAsia="zh-CN"/>
              </w:rPr>
              <w:t>s</w:t>
            </w:r>
            <w:r>
              <w:rPr>
                <w:lang w:val="en-US" w:eastAsia="zh-CN"/>
              </w:rPr>
              <w:t>Dl</w:t>
            </w:r>
          </w:p>
        </w:tc>
        <w:tc>
          <w:tcPr>
            <w:tcW w:w="1800" w:type="dxa"/>
            <w:gridSpan w:val="2"/>
            <w:noWrap w:val="0"/>
            <w:vAlign w:val="top"/>
          </w:tcPr>
          <w:p>
            <w:pPr>
              <w:pStyle w:val="102"/>
              <w:rPr>
                <w:rFonts w:hint="eastAsia"/>
                <w:lang w:eastAsia="zh-CN"/>
              </w:rPr>
            </w:pPr>
            <w:r>
              <w:rPr>
                <w:rFonts w:hint="eastAsia"/>
                <w:lang w:eastAsia="zh-CN"/>
              </w:rPr>
              <w:t>P</w:t>
            </w:r>
            <w:r>
              <w:rPr>
                <w:lang w:eastAsia="zh-CN"/>
              </w:rPr>
              <w:t>duSetQosPara</w:t>
            </w:r>
          </w:p>
        </w:tc>
        <w:tc>
          <w:tcPr>
            <w:tcW w:w="361" w:type="dxa"/>
            <w:gridSpan w:val="2"/>
            <w:noWrap w:val="0"/>
            <w:vAlign w:val="top"/>
          </w:tcPr>
          <w:p>
            <w:pPr>
              <w:pStyle w:val="101"/>
              <w:rPr>
                <w:lang w:eastAsia="zh-CN"/>
              </w:rPr>
            </w:pPr>
            <w:r>
              <w:t>O</w:t>
            </w:r>
          </w:p>
        </w:tc>
        <w:tc>
          <w:tcPr>
            <w:tcW w:w="1170" w:type="dxa"/>
            <w:gridSpan w:val="2"/>
            <w:noWrap w:val="0"/>
            <w:vAlign w:val="top"/>
          </w:tcPr>
          <w:p>
            <w:pPr>
              <w:pStyle w:val="101"/>
              <w:rPr>
                <w:lang w:eastAsia="zh-CN"/>
              </w:rPr>
            </w:pPr>
            <w:r>
              <w:rPr>
                <w:lang w:eastAsia="zh-CN"/>
              </w:rPr>
              <w:t>0..1</w:t>
            </w:r>
          </w:p>
        </w:tc>
        <w:tc>
          <w:tcPr>
            <w:tcW w:w="3271" w:type="dxa"/>
            <w:gridSpan w:val="2"/>
            <w:noWrap w:val="0"/>
            <w:vAlign w:val="top"/>
          </w:tcPr>
          <w:p>
            <w:pPr>
              <w:pStyle w:val="102"/>
              <w:rPr>
                <w:lang w:eastAsia="zh-CN"/>
              </w:rPr>
            </w:pPr>
            <w:r>
              <w:t>PDU Set QoS parameter(s) for the downlink direction.</w:t>
            </w:r>
          </w:p>
        </w:tc>
        <w:tc>
          <w:tcPr>
            <w:tcW w:w="1408" w:type="dxa"/>
            <w:gridSpan w:val="2"/>
            <w:noWrap w:val="0"/>
            <w:vAlign w:val="top"/>
          </w:tcPr>
          <w:p>
            <w:pPr>
              <w:pStyle w:val="102"/>
            </w:pPr>
            <w:r>
              <w:rPr>
                <w:rFonts w:cs="Arial"/>
              </w:rPr>
              <w:t>PDUSetHandling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rPr>
                <w:lang w:val="en-US" w:eastAsia="zh-CN"/>
              </w:rPr>
            </w:pPr>
            <w:r>
              <w:rPr>
                <w:lang w:val="en-US" w:eastAsia="zh-CN"/>
              </w:rPr>
              <w:t>p</w:t>
            </w:r>
            <w:r>
              <w:rPr>
                <w:rFonts w:hint="eastAsia"/>
                <w:lang w:val="en-US" w:eastAsia="zh-CN"/>
              </w:rPr>
              <w:t>duSet</w:t>
            </w:r>
            <w:r>
              <w:t>Qo</w:t>
            </w:r>
            <w:r>
              <w:rPr>
                <w:rFonts w:hint="eastAsia"/>
                <w:lang w:val="en-US" w:eastAsia="zh-CN"/>
              </w:rPr>
              <w:t>s</w:t>
            </w:r>
            <w:r>
              <w:rPr>
                <w:lang w:val="en-US" w:eastAsia="zh-CN"/>
              </w:rPr>
              <w:t>Ul</w:t>
            </w:r>
          </w:p>
        </w:tc>
        <w:tc>
          <w:tcPr>
            <w:tcW w:w="1800" w:type="dxa"/>
            <w:gridSpan w:val="2"/>
            <w:noWrap w:val="0"/>
            <w:vAlign w:val="top"/>
          </w:tcPr>
          <w:p>
            <w:pPr>
              <w:pStyle w:val="102"/>
              <w:rPr>
                <w:rFonts w:hint="eastAsia"/>
                <w:lang w:eastAsia="zh-CN"/>
              </w:rPr>
            </w:pPr>
            <w:r>
              <w:rPr>
                <w:rFonts w:hint="eastAsia"/>
                <w:lang w:eastAsia="zh-CN"/>
              </w:rPr>
              <w:t>P</w:t>
            </w:r>
            <w:r>
              <w:rPr>
                <w:lang w:eastAsia="zh-CN"/>
              </w:rPr>
              <w:t>duSetQosPara</w:t>
            </w:r>
          </w:p>
        </w:tc>
        <w:tc>
          <w:tcPr>
            <w:tcW w:w="361" w:type="dxa"/>
            <w:gridSpan w:val="2"/>
            <w:noWrap w:val="0"/>
            <w:vAlign w:val="top"/>
          </w:tcPr>
          <w:p>
            <w:pPr>
              <w:pStyle w:val="101"/>
            </w:pPr>
            <w:r>
              <w:t>O</w:t>
            </w:r>
          </w:p>
        </w:tc>
        <w:tc>
          <w:tcPr>
            <w:tcW w:w="1170" w:type="dxa"/>
            <w:gridSpan w:val="2"/>
            <w:noWrap w:val="0"/>
            <w:vAlign w:val="top"/>
          </w:tcPr>
          <w:p>
            <w:pPr>
              <w:pStyle w:val="101"/>
              <w:rPr>
                <w:lang w:eastAsia="zh-CN"/>
              </w:rPr>
            </w:pPr>
            <w:r>
              <w:rPr>
                <w:lang w:eastAsia="zh-CN"/>
              </w:rPr>
              <w:t>0..1</w:t>
            </w:r>
          </w:p>
        </w:tc>
        <w:tc>
          <w:tcPr>
            <w:tcW w:w="3271" w:type="dxa"/>
            <w:gridSpan w:val="2"/>
            <w:noWrap w:val="0"/>
            <w:vAlign w:val="top"/>
          </w:tcPr>
          <w:p>
            <w:pPr>
              <w:pStyle w:val="102"/>
            </w:pPr>
            <w:r>
              <w:t>PDU Set QoS parameter(s) for the uplink direction.</w:t>
            </w:r>
          </w:p>
        </w:tc>
        <w:tc>
          <w:tcPr>
            <w:tcW w:w="1408" w:type="dxa"/>
            <w:gridSpan w:val="2"/>
            <w:noWrap w:val="0"/>
            <w:vAlign w:val="top"/>
          </w:tcPr>
          <w:p>
            <w:pPr>
              <w:pStyle w:val="102"/>
              <w:rPr>
                <w:rFonts w:cs="Arial"/>
              </w:rPr>
            </w:pPr>
            <w:r>
              <w:rPr>
                <w:rFonts w:cs="Arial"/>
              </w:rPr>
              <w:t>PDUSetHandling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rPr>
                <w:lang w:val="en-US" w:eastAsia="zh-CN"/>
              </w:rPr>
            </w:pPr>
            <w:r>
              <w:t>protoDescDl</w:t>
            </w:r>
          </w:p>
        </w:tc>
        <w:tc>
          <w:tcPr>
            <w:tcW w:w="1800" w:type="dxa"/>
            <w:gridSpan w:val="2"/>
            <w:noWrap w:val="0"/>
            <w:vAlign w:val="top"/>
          </w:tcPr>
          <w:p>
            <w:pPr>
              <w:pStyle w:val="102"/>
              <w:rPr>
                <w:rFonts w:hint="eastAsia"/>
                <w:lang w:eastAsia="zh-CN"/>
              </w:rPr>
            </w:pPr>
            <w:r>
              <w:t>ProtocolDescription</w:t>
            </w:r>
          </w:p>
        </w:tc>
        <w:tc>
          <w:tcPr>
            <w:tcW w:w="361" w:type="dxa"/>
            <w:gridSpan w:val="2"/>
            <w:noWrap w:val="0"/>
            <w:vAlign w:val="top"/>
          </w:tcPr>
          <w:p>
            <w:pPr>
              <w:pStyle w:val="101"/>
            </w:pPr>
            <w:r>
              <w:rPr>
                <w:lang w:eastAsia="zh-CN"/>
              </w:rPr>
              <w:t>O</w:t>
            </w:r>
          </w:p>
        </w:tc>
        <w:tc>
          <w:tcPr>
            <w:tcW w:w="1170" w:type="dxa"/>
            <w:gridSpan w:val="2"/>
            <w:noWrap w:val="0"/>
            <w:vAlign w:val="top"/>
          </w:tcPr>
          <w:p>
            <w:pPr>
              <w:pStyle w:val="101"/>
              <w:rPr>
                <w:lang w:eastAsia="zh-CN"/>
              </w:rPr>
            </w:pPr>
            <w:r>
              <w:rPr>
                <w:lang w:eastAsia="zh-CN"/>
              </w:rPr>
              <w:t>0..1</w:t>
            </w:r>
          </w:p>
        </w:tc>
        <w:tc>
          <w:tcPr>
            <w:tcW w:w="3271" w:type="dxa"/>
            <w:gridSpan w:val="2"/>
            <w:noWrap w:val="0"/>
            <w:vAlign w:val="top"/>
          </w:tcPr>
          <w:p>
            <w:pPr>
              <w:pStyle w:val="102"/>
            </w:pPr>
            <w:r>
              <w:t xml:space="preserve">Downlink Protocol description for PDU Set identification and/or dectection of the end of data burst in UPF. </w:t>
            </w:r>
          </w:p>
        </w:tc>
        <w:tc>
          <w:tcPr>
            <w:tcW w:w="1408" w:type="dxa"/>
            <w:gridSpan w:val="2"/>
            <w:noWrap w:val="0"/>
            <w:vAlign w:val="top"/>
          </w:tcPr>
          <w:p>
            <w:pPr>
              <w:pStyle w:val="102"/>
              <w:rPr>
                <w:lang w:val="en-US" w:eastAsia="zh-CN"/>
              </w:rPr>
            </w:pPr>
            <w:r>
              <w:rPr>
                <w:rFonts w:cs="Arial"/>
              </w:rPr>
              <w:t>PDUSetHandling</w:t>
            </w:r>
            <w:r>
              <w:rPr>
                <w:rFonts w:cs="Arial"/>
              </w:rPr>
              <w:br w:type="textWrapping"/>
            </w:r>
            <w:r>
              <w:rPr>
                <w:rFonts w:cs="Arial"/>
              </w:rPr>
              <w:t>PowerSaving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protoDescUl</w:t>
            </w:r>
          </w:p>
        </w:tc>
        <w:tc>
          <w:tcPr>
            <w:tcW w:w="1800" w:type="dxa"/>
            <w:gridSpan w:val="2"/>
            <w:noWrap w:val="0"/>
            <w:vAlign w:val="top"/>
          </w:tcPr>
          <w:p>
            <w:pPr>
              <w:pStyle w:val="102"/>
            </w:pPr>
            <w:r>
              <w:t>ProtocolDescription</w:t>
            </w:r>
          </w:p>
        </w:tc>
        <w:tc>
          <w:tcPr>
            <w:tcW w:w="361" w:type="dxa"/>
            <w:gridSpan w:val="2"/>
            <w:noWrap w:val="0"/>
            <w:vAlign w:val="top"/>
          </w:tcPr>
          <w:p>
            <w:pPr>
              <w:pStyle w:val="101"/>
              <w:rPr>
                <w:lang w:eastAsia="zh-CN"/>
              </w:rPr>
            </w:pPr>
            <w:r>
              <w:rPr>
                <w:lang w:eastAsia="zh-CN"/>
              </w:rPr>
              <w:t>O</w:t>
            </w:r>
          </w:p>
        </w:tc>
        <w:tc>
          <w:tcPr>
            <w:tcW w:w="1170" w:type="dxa"/>
            <w:gridSpan w:val="2"/>
            <w:noWrap w:val="0"/>
            <w:vAlign w:val="top"/>
          </w:tcPr>
          <w:p>
            <w:pPr>
              <w:pStyle w:val="101"/>
              <w:rPr>
                <w:lang w:eastAsia="zh-CN"/>
              </w:rPr>
            </w:pPr>
            <w:r>
              <w:rPr>
                <w:lang w:eastAsia="zh-CN"/>
              </w:rPr>
              <w:t>0..1</w:t>
            </w:r>
          </w:p>
        </w:tc>
        <w:tc>
          <w:tcPr>
            <w:tcW w:w="3271" w:type="dxa"/>
            <w:gridSpan w:val="2"/>
            <w:noWrap w:val="0"/>
            <w:vAlign w:val="top"/>
          </w:tcPr>
          <w:p>
            <w:pPr>
              <w:pStyle w:val="102"/>
            </w:pPr>
            <w:r>
              <w:t xml:space="preserve">Uplink Protocol description for PDU Set identification in UPF. </w:t>
            </w:r>
          </w:p>
        </w:tc>
        <w:tc>
          <w:tcPr>
            <w:tcW w:w="1408" w:type="dxa"/>
            <w:gridSpan w:val="2"/>
            <w:noWrap w:val="0"/>
            <w:vAlign w:val="top"/>
          </w:tcPr>
          <w:p>
            <w:pPr>
              <w:pStyle w:val="102"/>
              <w:rPr>
                <w:rFonts w:cs="Arial"/>
              </w:rPr>
            </w:pPr>
            <w:r>
              <w:rPr>
                <w:rFonts w:cs="Arial"/>
              </w:rPr>
              <w:t>PDUSetHandling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rPr>
                <w:lang w:eastAsia="zh-CN"/>
              </w:rPr>
            </w:pPr>
            <w:r>
              <w:t>periodUl</w:t>
            </w:r>
          </w:p>
        </w:tc>
        <w:tc>
          <w:tcPr>
            <w:tcW w:w="1800" w:type="dxa"/>
            <w:gridSpan w:val="2"/>
            <w:noWrap w:val="0"/>
            <w:vAlign w:val="top"/>
          </w:tcPr>
          <w:p>
            <w:pPr>
              <w:pStyle w:val="102"/>
              <w:rPr>
                <w:lang w:eastAsia="zh-CN"/>
              </w:rPr>
            </w:pPr>
            <w:r>
              <w:t>DurationMilliSec</w:t>
            </w:r>
          </w:p>
        </w:tc>
        <w:tc>
          <w:tcPr>
            <w:tcW w:w="361" w:type="dxa"/>
            <w:gridSpan w:val="2"/>
            <w:noWrap w:val="0"/>
            <w:vAlign w:val="top"/>
          </w:tcPr>
          <w:p>
            <w:pPr>
              <w:pStyle w:val="101"/>
              <w:rPr>
                <w:lang w:eastAsia="zh-CN"/>
              </w:rPr>
            </w:pPr>
            <w:r>
              <w:t>O</w:t>
            </w:r>
          </w:p>
        </w:tc>
        <w:tc>
          <w:tcPr>
            <w:tcW w:w="1170" w:type="dxa"/>
            <w:gridSpan w:val="2"/>
            <w:noWrap w:val="0"/>
            <w:vAlign w:val="top"/>
          </w:tcPr>
          <w:p>
            <w:pPr>
              <w:pStyle w:val="101"/>
              <w:rPr>
                <w:lang w:eastAsia="zh-CN"/>
              </w:rPr>
            </w:pPr>
            <w:r>
              <w:t>0..1</w:t>
            </w:r>
          </w:p>
        </w:tc>
        <w:tc>
          <w:tcPr>
            <w:tcW w:w="3271" w:type="dxa"/>
            <w:gridSpan w:val="2"/>
            <w:noWrap w:val="0"/>
            <w:vAlign w:val="top"/>
          </w:tcPr>
          <w:p>
            <w:pPr>
              <w:pStyle w:val="102"/>
            </w:pPr>
            <w:r>
              <w:rPr>
                <w:rFonts w:cs="Arial"/>
                <w:szCs w:val="18"/>
              </w:rPr>
              <w:t xml:space="preserve">Indicates the time period between the start of the two data bursts </w:t>
            </w:r>
            <w:r>
              <w:t>in units of milliseconds</w:t>
            </w:r>
            <w:r>
              <w:rPr>
                <w:rFonts w:cs="Arial"/>
                <w:szCs w:val="18"/>
              </w:rPr>
              <w:t xml:space="preserve"> in Uplink direction.</w:t>
            </w:r>
          </w:p>
        </w:tc>
        <w:tc>
          <w:tcPr>
            <w:tcW w:w="1408" w:type="dxa"/>
            <w:gridSpan w:val="2"/>
            <w:noWrap w:val="0"/>
            <w:vAlign w:val="top"/>
          </w:tcPr>
          <w:p>
            <w:pPr>
              <w:pStyle w:val="102"/>
              <w:rPr>
                <w:lang w:val="en-US"/>
              </w:rPr>
            </w:pPr>
            <w:r>
              <w:t>PowerSaving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rPr>
                <w:lang w:eastAsia="zh-CN"/>
              </w:rPr>
            </w:pPr>
            <w:r>
              <w:t>periodDl</w:t>
            </w:r>
          </w:p>
        </w:tc>
        <w:tc>
          <w:tcPr>
            <w:tcW w:w="1800" w:type="dxa"/>
            <w:gridSpan w:val="2"/>
            <w:noWrap w:val="0"/>
            <w:vAlign w:val="top"/>
          </w:tcPr>
          <w:p>
            <w:pPr>
              <w:pStyle w:val="102"/>
              <w:rPr>
                <w:lang w:eastAsia="zh-CN"/>
              </w:rPr>
            </w:pPr>
            <w:r>
              <w:t>DurationMilliSec</w:t>
            </w:r>
          </w:p>
        </w:tc>
        <w:tc>
          <w:tcPr>
            <w:tcW w:w="361" w:type="dxa"/>
            <w:gridSpan w:val="2"/>
            <w:noWrap w:val="0"/>
            <w:vAlign w:val="top"/>
          </w:tcPr>
          <w:p>
            <w:pPr>
              <w:pStyle w:val="101"/>
              <w:rPr>
                <w:lang w:eastAsia="zh-CN"/>
              </w:rPr>
            </w:pPr>
            <w:r>
              <w:t>O</w:t>
            </w:r>
          </w:p>
        </w:tc>
        <w:tc>
          <w:tcPr>
            <w:tcW w:w="1170" w:type="dxa"/>
            <w:gridSpan w:val="2"/>
            <w:noWrap w:val="0"/>
            <w:vAlign w:val="top"/>
          </w:tcPr>
          <w:p>
            <w:pPr>
              <w:pStyle w:val="101"/>
              <w:rPr>
                <w:lang w:eastAsia="zh-CN"/>
              </w:rPr>
            </w:pPr>
            <w:r>
              <w:t>0..1</w:t>
            </w:r>
          </w:p>
        </w:tc>
        <w:tc>
          <w:tcPr>
            <w:tcW w:w="3271" w:type="dxa"/>
            <w:gridSpan w:val="2"/>
            <w:noWrap w:val="0"/>
            <w:vAlign w:val="top"/>
          </w:tcPr>
          <w:p>
            <w:pPr>
              <w:pStyle w:val="102"/>
            </w:pPr>
            <w:r>
              <w:rPr>
                <w:rFonts w:cs="Arial"/>
                <w:szCs w:val="18"/>
              </w:rPr>
              <w:t xml:space="preserve">Indicates the time period between the start of the two data bursts </w:t>
            </w:r>
            <w:r>
              <w:t>in units of milliseconds</w:t>
            </w:r>
            <w:r>
              <w:rPr>
                <w:rFonts w:cs="Arial"/>
                <w:szCs w:val="18"/>
              </w:rPr>
              <w:t xml:space="preserve"> in Downlink direction.</w:t>
            </w:r>
          </w:p>
        </w:tc>
        <w:tc>
          <w:tcPr>
            <w:tcW w:w="1408" w:type="dxa"/>
            <w:gridSpan w:val="2"/>
            <w:noWrap w:val="0"/>
            <w:vAlign w:val="top"/>
          </w:tcPr>
          <w:p>
            <w:pPr>
              <w:pStyle w:val="102"/>
              <w:rPr>
                <w:lang w:val="en-US"/>
              </w:rPr>
            </w:pPr>
            <w:r>
              <w:t>PowerSaving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Before w:val="1"/>
          <w:wBefore w:w="36" w:type="dxa"/>
          <w:cantSplit/>
          <w:jc w:val="center"/>
        </w:trPr>
        <w:tc>
          <w:tcPr>
            <w:tcW w:w="1609" w:type="dxa"/>
            <w:gridSpan w:val="2"/>
            <w:noWrap w:val="0"/>
            <w:vAlign w:val="top"/>
          </w:tcPr>
          <w:p>
            <w:pPr>
              <w:pStyle w:val="102"/>
            </w:pPr>
            <w:r>
              <w:rPr>
                <w:lang w:eastAsia="zh-CN"/>
              </w:rPr>
              <w:t>l4sInd</w:t>
            </w:r>
          </w:p>
        </w:tc>
        <w:tc>
          <w:tcPr>
            <w:tcW w:w="1800" w:type="dxa"/>
            <w:gridSpan w:val="2"/>
            <w:noWrap w:val="0"/>
            <w:vAlign w:val="top"/>
          </w:tcPr>
          <w:p>
            <w:pPr>
              <w:pStyle w:val="102"/>
              <w:rPr>
                <w:lang w:eastAsia="zh-CN"/>
              </w:rPr>
            </w:pPr>
            <w:r>
              <w:t>UplinkDownlinkSupport</w:t>
            </w:r>
          </w:p>
        </w:tc>
        <w:tc>
          <w:tcPr>
            <w:tcW w:w="361" w:type="dxa"/>
            <w:gridSpan w:val="2"/>
            <w:noWrap w:val="0"/>
            <w:vAlign w:val="top"/>
          </w:tcPr>
          <w:p>
            <w:pPr>
              <w:pStyle w:val="101"/>
              <w:rPr>
                <w:lang w:eastAsia="zh-CN"/>
              </w:rPr>
            </w:pPr>
            <w:r>
              <w:rPr>
                <w:lang w:eastAsia="zh-CN"/>
              </w:rPr>
              <w:t>O</w:t>
            </w:r>
          </w:p>
        </w:tc>
        <w:tc>
          <w:tcPr>
            <w:tcW w:w="1170" w:type="dxa"/>
            <w:gridSpan w:val="2"/>
            <w:noWrap w:val="0"/>
            <w:vAlign w:val="top"/>
          </w:tcPr>
          <w:p>
            <w:pPr>
              <w:pStyle w:val="101"/>
              <w:rPr>
                <w:lang w:eastAsia="zh-CN"/>
              </w:rPr>
            </w:pPr>
            <w:r>
              <w:rPr>
                <w:lang w:eastAsia="zh-CN"/>
              </w:rPr>
              <w:t>0..1</w:t>
            </w:r>
          </w:p>
        </w:tc>
        <w:tc>
          <w:tcPr>
            <w:tcW w:w="3271" w:type="dxa"/>
            <w:gridSpan w:val="2"/>
            <w:noWrap w:val="0"/>
            <w:vAlign w:val="top"/>
          </w:tcPr>
          <w:p>
            <w:pPr>
              <w:pStyle w:val="102"/>
            </w:pPr>
            <w:r>
              <w:t>Indicates whether ECN marking for L4S support is supported for the UL, the DL or both, UL and DL.</w:t>
            </w:r>
          </w:p>
          <w:p>
            <w:pPr>
              <w:pStyle w:val="102"/>
            </w:pPr>
            <w:r>
              <w:t>(NOTE 3)</w:t>
            </w:r>
          </w:p>
        </w:tc>
        <w:tc>
          <w:tcPr>
            <w:tcW w:w="1408" w:type="dxa"/>
            <w:gridSpan w:val="2"/>
            <w:noWrap w:val="0"/>
            <w:vAlign w:val="top"/>
          </w:tcPr>
          <w:p>
            <w:pPr>
              <w:pStyle w:val="102"/>
              <w:rPr>
                <w:lang w:val="en-US"/>
              </w:rPr>
            </w:pPr>
            <w:r>
              <w:rPr>
                <w:lang w:val="en-US"/>
              </w:rPr>
              <w:t>L4S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9619" w:type="dxa"/>
            <w:gridSpan w:val="12"/>
            <w:noWrap w:val="0"/>
            <w:vAlign w:val="top"/>
          </w:tcPr>
          <w:p>
            <w:pPr>
              <w:pStyle w:val="115"/>
            </w:pPr>
            <w:r>
              <w:t>NOTE 1:</w:t>
            </w:r>
            <w:r>
              <w:tab/>
            </w:r>
            <w:r>
              <w:t>The attributes "altSerReqs" and "altSerReqsData" are mutually exclusive. Of the two, only the attribute "altSerReqs" may be provided if the attribute "qosReference" is provided, while only the attribute "altSerReqsData" may be provided if the attribute "qosReference" is not provided.</w:t>
            </w:r>
          </w:p>
          <w:p>
            <w:pPr>
              <w:pStyle w:val="115"/>
            </w:pPr>
            <w:r>
              <w:rPr>
                <w:rFonts w:hint="eastAsia"/>
                <w:lang w:eastAsia="zh-CN"/>
              </w:rPr>
              <w:t>N</w:t>
            </w:r>
            <w:r>
              <w:rPr>
                <w:lang w:eastAsia="zh-CN"/>
              </w:rPr>
              <w:t>OTE</w:t>
            </w:r>
            <w:r>
              <w:t> 2:</w:t>
            </w:r>
            <w:r>
              <w:tab/>
            </w:r>
            <w:r>
              <w:t>The "burstArrivalTimeWnd" attribute, within the "tscaiInputUl" and/or "tscaiInputDl" attributes, and the "capBatAdaptation attribute are mutually exclusive.</w:t>
            </w:r>
          </w:p>
          <w:p>
            <w:pPr>
              <w:pStyle w:val="115"/>
              <w:rPr>
                <w:lang w:eastAsia="zh-CN"/>
              </w:rPr>
            </w:pPr>
            <w:r>
              <w:t>NOTE 3:</w:t>
            </w:r>
            <w:r>
              <w:tab/>
            </w:r>
            <w:r>
              <w:rPr>
                <w:lang w:val="en-US" w:eastAsia="zh-CN"/>
              </w:rPr>
              <w:t>Within the MediaComponent entry</w:t>
            </w:r>
            <w:r>
              <w:t>, the NF service consumer may include either the indication of L4S support within the "l4sInd" attribute</w:t>
            </w:r>
            <w:r>
              <w:rPr>
                <w:lang w:val="en-US" w:eastAsia="zh-CN"/>
              </w:rPr>
              <w:t xml:space="preserve"> or the request for congestion measurements within the </w:t>
            </w:r>
            <w:r>
              <w:t>"evSubsc" attribute included in one or more entries of the "medSubComps" attribute, but the indication of L4S and the subscription to congestion monitoring shall not be provided simultaneously.</w:t>
            </w:r>
          </w:p>
        </w:tc>
      </w:tr>
    </w:tbl>
    <w:p/>
    <w:p>
      <w:r>
        <w:t>All IP flows within a "MediaSubComponent" data type are permanently disabled by supplying "FlowStatus" data type with a deletion indication.</w:t>
      </w:r>
    </w:p>
    <w:p>
      <w:r>
        <w:t>Bandwidth information and the "fStatus" attribute provided within the MediaComponent applies to all those IP flows within the media component, for which no corresponding information is being provided within the "medSubComps" attribute. As defined in 3GPP TS 29.513 [7], the bandwidth information within the media component level "marBwUl" and "marBwDl" attributes applies separately to each media subcomponent except for media subcomponents with a "flowUsage" attribute with the value "RTCP". The mapping of bandwidth information for RTCP media subcomponent is defined in 3GPP TS 29.513 [7] clause 7.3.3.</w:t>
      </w:r>
    </w:p>
    <w:p>
      <w:pPr>
        <w:pBdr>
          <w:top w:val="single" w:color="auto" w:sz="4" w:space="1"/>
          <w:left w:val="single" w:color="auto" w:sz="4" w:space="4"/>
          <w:bottom w:val="single" w:color="auto" w:sz="4" w:space="0"/>
          <w:right w:val="single" w:color="auto" w:sz="4" w:space="4"/>
        </w:pBdr>
        <w:jc w:val="center"/>
        <w:outlineLvl w:val="0"/>
        <w:rPr>
          <w:rFonts w:ascii="Arial" w:hAnsi="Arial" w:cs="Arial"/>
          <w:color w:val="0000FF"/>
          <w:sz w:val="28"/>
          <w:szCs w:val="28"/>
        </w:rPr>
      </w:pPr>
      <w:r>
        <w:rPr>
          <w:rFonts w:ascii="Arial" w:hAnsi="Arial" w:cs="Arial"/>
          <w:color w:val="0000FF"/>
          <w:sz w:val="28"/>
          <w:szCs w:val="28"/>
        </w:rPr>
        <w:t>* * * * Next changes * * * *</w:t>
      </w:r>
    </w:p>
    <w:p>
      <w:pPr>
        <w:pStyle w:val="6"/>
      </w:pPr>
      <w:bookmarkStart w:id="13" w:name="_Toc161912481"/>
      <w:r>
        <w:t>5.6.2.26</w:t>
      </w:r>
      <w:r>
        <w:tab/>
      </w:r>
      <w:r>
        <w:t>Type MediaComponentRm</w:t>
      </w:r>
      <w:bookmarkEnd w:id="13"/>
    </w:p>
    <w:p>
      <w:r>
        <w:t>This data type is defined in the same way as the "MediaComponent" data type, but:</w:t>
      </w:r>
    </w:p>
    <w:p>
      <w:pPr>
        <w:pStyle w:val="124"/>
      </w:pPr>
      <w:r>
        <w:t>-</w:t>
      </w:r>
      <w:r>
        <w:tab/>
      </w:r>
      <w:r>
        <w:t>with the OpenAPI "nullable: true" property; and</w:t>
      </w:r>
    </w:p>
    <w:p>
      <w:pPr>
        <w:pStyle w:val="124"/>
      </w:pPr>
      <w:r>
        <w:t>-</w:t>
      </w:r>
      <w:r>
        <w:tab/>
      </w:r>
      <w:r>
        <w:t>the removable attributes "afRoutReq" is defined with the removable data type "AfRoutingRequirementRm"; "maxPacketLossRateDl" and "maxPacketLossRateUl" are defined with the removable data type "PacketLossRateRm"; "medSubComps" is defined with the removable data type "MediaSubComponentRm"; "preemptCap" is defined with the removable data type "PreemptionCapabilityRm"; "preemptVuln" is defined with the removable data type "PreemptionVulnerabilityRm"; "marBwDl", "marBwUl", "minDesBwDl", "minDesBwUl", "mirBwDl", "mirBwUl", "maxSuppBwDl", "maxSuppBwUl", "rrBw", "rsBw" are defined with the removable data type "BitRateRm"; "sharingKeyDl", "sharingKeyUl", "tsnQos"</w:t>
      </w:r>
      <w:r>
        <w:rPr>
          <w:rFonts w:hint="eastAsia"/>
          <w:lang w:val="en-US" w:eastAsia="zh-CN"/>
        </w:rPr>
        <w:t xml:space="preserve">, </w:t>
      </w:r>
      <w:r>
        <w:t>"tsnQos"</w:t>
      </w:r>
      <w:r>
        <w:rPr>
          <w:rFonts w:hint="eastAsia"/>
          <w:lang w:val="en-US" w:eastAsia="zh-CN"/>
        </w:rPr>
        <w:t xml:space="preserve">, </w:t>
      </w:r>
      <w:r>
        <w:t>"</w:t>
      </w:r>
      <w:r>
        <w:rPr>
          <w:lang w:val="en-US" w:eastAsia="zh-CN"/>
        </w:rPr>
        <w:t>p</w:t>
      </w:r>
      <w:r>
        <w:rPr>
          <w:rFonts w:hint="eastAsia"/>
          <w:lang w:val="en-US" w:eastAsia="zh-CN"/>
        </w:rPr>
        <w:t>duSet</w:t>
      </w:r>
      <w:r>
        <w:t>QosDl" and "</w:t>
      </w:r>
      <w:r>
        <w:rPr>
          <w:lang w:val="en-US" w:eastAsia="zh-CN"/>
        </w:rPr>
        <w:t>p</w:t>
      </w:r>
      <w:r>
        <w:rPr>
          <w:rFonts w:hint="eastAsia"/>
          <w:lang w:val="en-US" w:eastAsia="zh-CN"/>
        </w:rPr>
        <w:t>duSet</w:t>
      </w:r>
      <w:r>
        <w:t>QosUl" are defined with the removable data types "Uint32Rm"</w:t>
      </w:r>
      <w:r>
        <w:rPr>
          <w:rFonts w:hint="eastAsia"/>
          <w:lang w:val="en-US" w:eastAsia="zh-CN"/>
        </w:rPr>
        <w:t>,</w:t>
      </w:r>
      <w:r>
        <w:t xml:space="preserve"> "TsnQosContainerRm"</w:t>
      </w:r>
      <w:r>
        <w:rPr>
          <w:rFonts w:hint="eastAsia"/>
          <w:lang w:val="en-US" w:eastAsia="zh-CN"/>
        </w:rPr>
        <w:t xml:space="preserve"> and </w:t>
      </w:r>
      <w:r>
        <w:t>"</w:t>
      </w:r>
      <w:r>
        <w:rPr>
          <w:lang w:val="en-US" w:eastAsia="zh-CN"/>
        </w:rPr>
        <w:t>p</w:t>
      </w:r>
      <w:r>
        <w:rPr>
          <w:rFonts w:hint="eastAsia"/>
          <w:lang w:val="en-US" w:eastAsia="zh-CN"/>
        </w:rPr>
        <w:t>duSetQosParaRm</w:t>
      </w:r>
      <w:r>
        <w:t xml:space="preserve">"; the removable attributes "desMaxLatency" and "desMaxLoss are defined with the removable data type "FloatRm"; "protoDescDl" and "protoDescUl" are defined with the removable data type "ProtocolDescription", "protoDescUl" is defined with the removable data type "ProtocolDescription", the removable attribute </w:t>
      </w:r>
      <w:r>
        <w:rPr>
          <w:lang w:eastAsia="zh-CN"/>
        </w:rPr>
        <w:t>"</w:t>
      </w:r>
      <w:r>
        <w:t>flusId</w:t>
      </w:r>
      <w:r>
        <w:rPr>
          <w:lang w:eastAsia="zh-CN"/>
        </w:rPr>
        <w:t xml:space="preserve">", </w:t>
      </w:r>
      <w:r>
        <w:t>"qosReference", "altSerReqs" and "afSfcReq"</w:t>
      </w:r>
      <w:r>
        <w:rPr>
          <w:lang w:eastAsia="zh-CN"/>
        </w:rPr>
        <w:t xml:space="preserve"> are</w:t>
      </w:r>
      <w:r>
        <w:t xml:space="preserve"> defined as nullable in the OpenAPI.</w:t>
      </w:r>
    </w:p>
    <w:p>
      <w:pPr>
        <w:pStyle w:val="104"/>
      </w:pPr>
      <w:r>
        <w:t>Table 5.6.2.26-1: Definition of type MediaComponentRm</w:t>
      </w:r>
    </w:p>
    <w:tbl>
      <w:tblPr>
        <w:tblStyle w:val="89"/>
        <w:tblW w:w="965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36"/>
        <w:gridCol w:w="1573"/>
        <w:gridCol w:w="36"/>
        <w:gridCol w:w="1764"/>
        <w:gridCol w:w="36"/>
        <w:gridCol w:w="325"/>
        <w:gridCol w:w="36"/>
        <w:gridCol w:w="1134"/>
        <w:gridCol w:w="36"/>
        <w:gridCol w:w="3293"/>
        <w:gridCol w:w="36"/>
        <w:gridCol w:w="1314"/>
        <w:gridCol w:w="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tblHeader/>
          <w:jc w:val="center"/>
        </w:trPr>
        <w:tc>
          <w:tcPr>
            <w:tcW w:w="1609" w:type="dxa"/>
            <w:gridSpan w:val="2"/>
            <w:shd w:val="clear" w:color="auto" w:fill="C0C0C0"/>
            <w:noWrap w:val="0"/>
            <w:vAlign w:val="top"/>
          </w:tcPr>
          <w:p>
            <w:pPr>
              <w:pStyle w:val="100"/>
            </w:pPr>
            <w:r>
              <w:t>Attribute name</w:t>
            </w:r>
          </w:p>
        </w:tc>
        <w:tc>
          <w:tcPr>
            <w:tcW w:w="1800" w:type="dxa"/>
            <w:gridSpan w:val="2"/>
            <w:shd w:val="clear" w:color="auto" w:fill="C0C0C0"/>
            <w:noWrap w:val="0"/>
            <w:vAlign w:val="top"/>
          </w:tcPr>
          <w:p>
            <w:pPr>
              <w:pStyle w:val="100"/>
            </w:pPr>
            <w:r>
              <w:t>Data type</w:t>
            </w:r>
          </w:p>
        </w:tc>
        <w:tc>
          <w:tcPr>
            <w:tcW w:w="361" w:type="dxa"/>
            <w:gridSpan w:val="2"/>
            <w:shd w:val="clear" w:color="auto" w:fill="C0C0C0"/>
            <w:noWrap w:val="0"/>
            <w:vAlign w:val="top"/>
          </w:tcPr>
          <w:p>
            <w:pPr>
              <w:pStyle w:val="100"/>
            </w:pPr>
            <w:r>
              <w:t>P</w:t>
            </w:r>
          </w:p>
        </w:tc>
        <w:tc>
          <w:tcPr>
            <w:tcW w:w="1170" w:type="dxa"/>
            <w:gridSpan w:val="2"/>
            <w:shd w:val="clear" w:color="auto" w:fill="C0C0C0"/>
            <w:noWrap w:val="0"/>
            <w:vAlign w:val="top"/>
          </w:tcPr>
          <w:p>
            <w:pPr>
              <w:pStyle w:val="100"/>
            </w:pPr>
            <w:r>
              <w:t>Cardinality</w:t>
            </w:r>
          </w:p>
        </w:tc>
        <w:tc>
          <w:tcPr>
            <w:tcW w:w="3329" w:type="dxa"/>
            <w:gridSpan w:val="2"/>
            <w:shd w:val="clear" w:color="auto" w:fill="C0C0C0"/>
            <w:noWrap w:val="0"/>
            <w:vAlign w:val="top"/>
          </w:tcPr>
          <w:p>
            <w:pPr>
              <w:pStyle w:val="100"/>
            </w:pPr>
            <w:r>
              <w:t>Description</w:t>
            </w:r>
          </w:p>
        </w:tc>
        <w:tc>
          <w:tcPr>
            <w:tcW w:w="1350" w:type="dxa"/>
            <w:gridSpan w:val="2"/>
            <w:shd w:val="clear" w:color="auto" w:fill="C0C0C0"/>
            <w:noWrap w:val="0"/>
            <w:vAlign w:val="top"/>
          </w:tcPr>
          <w:p>
            <w:pPr>
              <w:pStyle w:val="100"/>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afAppId</w:t>
            </w:r>
          </w:p>
        </w:tc>
        <w:tc>
          <w:tcPr>
            <w:tcW w:w="1800" w:type="dxa"/>
            <w:gridSpan w:val="2"/>
            <w:noWrap w:val="0"/>
            <w:vAlign w:val="top"/>
          </w:tcPr>
          <w:p>
            <w:pPr>
              <w:pStyle w:val="102"/>
            </w:pPr>
            <w:r>
              <w:t>AfAppId</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329" w:type="dxa"/>
            <w:gridSpan w:val="2"/>
            <w:noWrap w:val="0"/>
            <w:vAlign w:val="top"/>
          </w:tcPr>
          <w:p>
            <w:pPr>
              <w:pStyle w:val="102"/>
              <w:rPr>
                <w:rFonts w:cs="Arial"/>
                <w:szCs w:val="18"/>
              </w:rPr>
            </w:pPr>
            <w:r>
              <w:rPr>
                <w:rFonts w:cs="Arial"/>
                <w:szCs w:val="18"/>
              </w:rPr>
              <w:t>Contains information that identifies the particular service the AF session</w:t>
            </w:r>
            <w:r>
              <w:t xml:space="preserve"> belongs to.</w:t>
            </w:r>
          </w:p>
        </w:tc>
        <w:tc>
          <w:tcPr>
            <w:tcW w:w="1350" w:type="dxa"/>
            <w:gridSpan w:val="2"/>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afRoutReq</w:t>
            </w:r>
          </w:p>
        </w:tc>
        <w:tc>
          <w:tcPr>
            <w:tcW w:w="1800" w:type="dxa"/>
            <w:gridSpan w:val="2"/>
            <w:noWrap w:val="0"/>
            <w:vAlign w:val="top"/>
          </w:tcPr>
          <w:p>
            <w:pPr>
              <w:pStyle w:val="102"/>
            </w:pPr>
            <w:r>
              <w:t>AfRoutingRequirementRm</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329" w:type="dxa"/>
            <w:gridSpan w:val="2"/>
            <w:noWrap w:val="0"/>
            <w:vAlign w:val="top"/>
          </w:tcPr>
          <w:p>
            <w:pPr>
              <w:pStyle w:val="102"/>
              <w:rPr>
                <w:rFonts w:cs="Arial"/>
                <w:szCs w:val="18"/>
              </w:rPr>
            </w:pPr>
            <w:r>
              <w:rPr>
                <w:rFonts w:cs="Arial"/>
                <w:szCs w:val="18"/>
              </w:rPr>
              <w:t>Indicates the AF traffic routing requirements.</w:t>
            </w:r>
          </w:p>
        </w:tc>
        <w:tc>
          <w:tcPr>
            <w:tcW w:w="1350" w:type="dxa"/>
            <w:gridSpan w:val="2"/>
            <w:noWrap w:val="0"/>
            <w:vAlign w:val="top"/>
          </w:tcPr>
          <w:p>
            <w:pPr>
              <w:pStyle w:val="102"/>
              <w:rPr>
                <w:rFonts w:cs="Arial"/>
                <w:szCs w:val="18"/>
              </w:rPr>
            </w:pPr>
            <w:r>
              <w:rPr>
                <w:rFonts w:cs="Arial"/>
                <w:szCs w:val="18"/>
              </w:rPr>
              <w:t>InfluenceOnTrafficRouting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afSfcReq</w:t>
            </w:r>
          </w:p>
        </w:tc>
        <w:tc>
          <w:tcPr>
            <w:tcW w:w="1800" w:type="dxa"/>
            <w:gridSpan w:val="2"/>
            <w:noWrap w:val="0"/>
            <w:vAlign w:val="top"/>
          </w:tcPr>
          <w:p>
            <w:pPr>
              <w:pStyle w:val="102"/>
            </w:pPr>
            <w:r>
              <w:t>AfSfcRequirement</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329" w:type="dxa"/>
            <w:gridSpan w:val="2"/>
            <w:noWrap w:val="0"/>
            <w:vAlign w:val="top"/>
          </w:tcPr>
          <w:p>
            <w:pPr>
              <w:pStyle w:val="102"/>
              <w:rPr>
                <w:rFonts w:cs="Arial"/>
                <w:szCs w:val="18"/>
              </w:rPr>
            </w:pPr>
            <w:r>
              <w:rPr>
                <w:rFonts w:cs="Arial"/>
                <w:szCs w:val="18"/>
              </w:rPr>
              <w:t xml:space="preserve">Indicates the AF requirements on steering traffic to </w:t>
            </w:r>
            <w:r>
              <w:t>a pre-configured chain of service functions on N6-LAN.</w:t>
            </w:r>
          </w:p>
        </w:tc>
        <w:tc>
          <w:tcPr>
            <w:tcW w:w="1350" w:type="dxa"/>
            <w:gridSpan w:val="2"/>
            <w:noWrap w:val="0"/>
            <w:vAlign w:val="top"/>
          </w:tcPr>
          <w:p>
            <w:pPr>
              <w:pStyle w:val="102"/>
              <w:rPr>
                <w:rFonts w:cs="Arial"/>
                <w:szCs w:val="18"/>
              </w:rPr>
            </w:pPr>
            <w:r>
              <w:rPr>
                <w:rFonts w:cs="Arial"/>
                <w:szCs w:val="18"/>
              </w:rPr>
              <w:t>SFC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rPr>
                <w:lang w:eastAsia="zh-CN"/>
              </w:rPr>
              <w:t>qosReference</w:t>
            </w:r>
          </w:p>
        </w:tc>
        <w:tc>
          <w:tcPr>
            <w:tcW w:w="1800" w:type="dxa"/>
            <w:gridSpan w:val="2"/>
            <w:noWrap w:val="0"/>
            <w:vAlign w:val="top"/>
          </w:tcPr>
          <w:p>
            <w:pPr>
              <w:pStyle w:val="102"/>
            </w:pPr>
            <w:r>
              <w:rPr>
                <w:lang w:eastAsia="zh-CN"/>
              </w:rPr>
              <w:t>string</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329" w:type="dxa"/>
            <w:gridSpan w:val="2"/>
            <w:noWrap w:val="0"/>
            <w:vAlign w:val="top"/>
          </w:tcPr>
          <w:p>
            <w:pPr>
              <w:pStyle w:val="102"/>
              <w:rPr>
                <w:rFonts w:cs="Arial"/>
                <w:szCs w:val="18"/>
              </w:rPr>
            </w:pPr>
            <w:r>
              <w:rPr>
                <w:rFonts w:cs="Arial"/>
                <w:szCs w:val="18"/>
                <w:lang w:eastAsia="zh-CN"/>
              </w:rPr>
              <w:t>Identifies a pre-defined QoS information</w:t>
            </w:r>
            <w:r>
              <w:t>.</w:t>
            </w:r>
          </w:p>
        </w:tc>
        <w:tc>
          <w:tcPr>
            <w:tcW w:w="1350" w:type="dxa"/>
            <w:gridSpan w:val="2"/>
            <w:noWrap w:val="0"/>
            <w:vAlign w:val="top"/>
          </w:tcPr>
          <w:p>
            <w:pPr>
              <w:pStyle w:val="102"/>
              <w:rPr>
                <w:rFonts w:cs="Arial"/>
                <w:szCs w:val="18"/>
              </w:rPr>
            </w:pPr>
            <w:r>
              <w:t>AuthorizationWithRequiredQoS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rPr>
                <w:lang w:eastAsia="zh-CN"/>
              </w:rPr>
              <w:t>altSerReqs</w:t>
            </w:r>
          </w:p>
        </w:tc>
        <w:tc>
          <w:tcPr>
            <w:tcW w:w="1800" w:type="dxa"/>
            <w:gridSpan w:val="2"/>
            <w:noWrap w:val="0"/>
            <w:vAlign w:val="top"/>
          </w:tcPr>
          <w:p>
            <w:pPr>
              <w:pStyle w:val="102"/>
            </w:pPr>
            <w:r>
              <w:t>array(string)</w:t>
            </w:r>
          </w:p>
        </w:tc>
        <w:tc>
          <w:tcPr>
            <w:tcW w:w="361" w:type="dxa"/>
            <w:gridSpan w:val="2"/>
            <w:noWrap w:val="0"/>
            <w:vAlign w:val="top"/>
          </w:tcPr>
          <w:p>
            <w:pPr>
              <w:pStyle w:val="101"/>
            </w:pPr>
            <w:r>
              <w:rPr>
                <w:lang w:eastAsia="zh-CN"/>
              </w:rPr>
              <w:t>O</w:t>
            </w:r>
          </w:p>
        </w:tc>
        <w:tc>
          <w:tcPr>
            <w:tcW w:w="1170" w:type="dxa"/>
            <w:gridSpan w:val="2"/>
            <w:noWrap w:val="0"/>
            <w:vAlign w:val="top"/>
          </w:tcPr>
          <w:p>
            <w:pPr>
              <w:pStyle w:val="101"/>
            </w:pPr>
            <w:r>
              <w:t>1..N</w:t>
            </w:r>
          </w:p>
        </w:tc>
        <w:tc>
          <w:tcPr>
            <w:tcW w:w="3329" w:type="dxa"/>
            <w:gridSpan w:val="2"/>
            <w:noWrap w:val="0"/>
            <w:vAlign w:val="top"/>
          </w:tcPr>
          <w:p>
            <w:pPr>
              <w:pStyle w:val="102"/>
              <w:rPr>
                <w:rFonts w:cs="Arial"/>
                <w:szCs w:val="18"/>
              </w:rPr>
            </w:pPr>
            <w:r>
              <w:t>Ordered list of alternative service requirements</w:t>
            </w:r>
            <w:r>
              <w:rPr>
                <w:rFonts w:eastAsia="Times New Roman"/>
                <w:lang w:val="en-US"/>
              </w:rPr>
              <w:t xml:space="preserve"> that include a set of QoS references</w:t>
            </w:r>
            <w:r>
              <w:t>. The lower the index of the array for a given entry, the higher the priority. (NOTE 1)</w:t>
            </w:r>
          </w:p>
        </w:tc>
        <w:tc>
          <w:tcPr>
            <w:tcW w:w="1350" w:type="dxa"/>
            <w:gridSpan w:val="2"/>
            <w:noWrap w:val="0"/>
            <w:vAlign w:val="top"/>
          </w:tcPr>
          <w:p>
            <w:pPr>
              <w:pStyle w:val="102"/>
              <w:rPr>
                <w:rFonts w:cs="Arial"/>
                <w:szCs w:val="18"/>
              </w:rPr>
            </w:pPr>
            <w:r>
              <w:t>AuthorizationWithRequiredQoS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rPr>
                <w:lang w:eastAsia="zh-CN"/>
              </w:rPr>
            </w:pPr>
            <w:r>
              <w:rPr>
                <w:lang w:eastAsia="zh-CN"/>
              </w:rPr>
              <w:t>altSerReqsData</w:t>
            </w:r>
          </w:p>
        </w:tc>
        <w:tc>
          <w:tcPr>
            <w:tcW w:w="1800" w:type="dxa"/>
            <w:gridSpan w:val="2"/>
            <w:noWrap w:val="0"/>
            <w:vAlign w:val="top"/>
          </w:tcPr>
          <w:p>
            <w:pPr>
              <w:pStyle w:val="102"/>
            </w:pPr>
            <w:r>
              <w:t>array(AlternativeServiceRequirementsData)</w:t>
            </w:r>
          </w:p>
        </w:tc>
        <w:tc>
          <w:tcPr>
            <w:tcW w:w="361" w:type="dxa"/>
            <w:gridSpan w:val="2"/>
            <w:noWrap w:val="0"/>
            <w:vAlign w:val="top"/>
          </w:tcPr>
          <w:p>
            <w:pPr>
              <w:pStyle w:val="101"/>
              <w:rPr>
                <w:lang w:eastAsia="zh-CN"/>
              </w:rPr>
            </w:pPr>
            <w:r>
              <w:rPr>
                <w:lang w:eastAsia="zh-CN"/>
              </w:rPr>
              <w:t>O</w:t>
            </w:r>
          </w:p>
        </w:tc>
        <w:tc>
          <w:tcPr>
            <w:tcW w:w="1170" w:type="dxa"/>
            <w:gridSpan w:val="2"/>
            <w:noWrap w:val="0"/>
            <w:vAlign w:val="top"/>
          </w:tcPr>
          <w:p>
            <w:pPr>
              <w:pStyle w:val="101"/>
            </w:pPr>
            <w:r>
              <w:t>1..N</w:t>
            </w:r>
          </w:p>
        </w:tc>
        <w:tc>
          <w:tcPr>
            <w:tcW w:w="3329" w:type="dxa"/>
            <w:gridSpan w:val="2"/>
            <w:noWrap w:val="0"/>
            <w:vAlign w:val="top"/>
          </w:tcPr>
          <w:p>
            <w:pPr>
              <w:pStyle w:val="102"/>
            </w:pPr>
            <w:r>
              <w:rPr>
                <w:rFonts w:eastAsia="Times New Roman"/>
                <w:lang w:val="en-US"/>
              </w:rPr>
              <w:t>Ordered list of alternative service requirements that include individual QoS parameter sets</w:t>
            </w:r>
            <w:r>
              <w:t>. The lower the index of the array for a given entry, the higher the priority. (NOTE 1)</w:t>
            </w:r>
          </w:p>
        </w:tc>
        <w:tc>
          <w:tcPr>
            <w:tcW w:w="1350" w:type="dxa"/>
            <w:gridSpan w:val="2"/>
            <w:noWrap w:val="0"/>
            <w:vAlign w:val="top"/>
          </w:tcPr>
          <w:p>
            <w:pPr>
              <w:pStyle w:val="102"/>
            </w:pPr>
            <w:r>
              <w:rPr>
                <w:rFonts w:eastAsia="Times New Roman"/>
                <w:lang w:val="en-US"/>
              </w:rPr>
              <w:t>AltSerReqsWithIndQoS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rPr>
                <w:lang w:eastAsia="zh-CN"/>
              </w:rPr>
            </w:pPr>
            <w:r>
              <w:rPr>
                <w:rFonts w:hint="eastAsia"/>
                <w:lang w:eastAsia="zh-CN"/>
              </w:rPr>
              <w:t>d</w:t>
            </w:r>
            <w:r>
              <w:rPr>
                <w:lang w:eastAsia="zh-CN"/>
              </w:rPr>
              <w:t>isUeNotif</w:t>
            </w:r>
          </w:p>
        </w:tc>
        <w:tc>
          <w:tcPr>
            <w:tcW w:w="1800" w:type="dxa"/>
            <w:gridSpan w:val="2"/>
            <w:noWrap w:val="0"/>
            <w:vAlign w:val="top"/>
          </w:tcPr>
          <w:p>
            <w:pPr>
              <w:pStyle w:val="102"/>
            </w:pPr>
            <w:r>
              <w:rPr>
                <w:rFonts w:hint="eastAsia"/>
                <w:lang w:eastAsia="zh-CN"/>
              </w:rPr>
              <w:t>b</w:t>
            </w:r>
            <w:r>
              <w:rPr>
                <w:lang w:eastAsia="zh-CN"/>
              </w:rPr>
              <w:t>oolean</w:t>
            </w:r>
          </w:p>
        </w:tc>
        <w:tc>
          <w:tcPr>
            <w:tcW w:w="361" w:type="dxa"/>
            <w:gridSpan w:val="2"/>
            <w:noWrap w:val="0"/>
            <w:vAlign w:val="top"/>
          </w:tcPr>
          <w:p>
            <w:pPr>
              <w:pStyle w:val="101"/>
              <w:rPr>
                <w:lang w:eastAsia="zh-CN"/>
              </w:rPr>
            </w:pPr>
            <w:r>
              <w:rPr>
                <w:rFonts w:hint="eastAsia"/>
                <w:lang w:eastAsia="zh-CN"/>
              </w:rPr>
              <w:t>O</w:t>
            </w:r>
          </w:p>
        </w:tc>
        <w:tc>
          <w:tcPr>
            <w:tcW w:w="1170" w:type="dxa"/>
            <w:gridSpan w:val="2"/>
            <w:noWrap w:val="0"/>
            <w:vAlign w:val="top"/>
          </w:tcPr>
          <w:p>
            <w:pPr>
              <w:pStyle w:val="101"/>
            </w:pPr>
            <w:r>
              <w:rPr>
                <w:rFonts w:hint="eastAsia"/>
                <w:lang w:eastAsia="zh-CN"/>
              </w:rPr>
              <w:t>0</w:t>
            </w:r>
            <w:r>
              <w:rPr>
                <w:lang w:eastAsia="zh-CN"/>
              </w:rPr>
              <w:t>..1</w:t>
            </w:r>
          </w:p>
        </w:tc>
        <w:tc>
          <w:tcPr>
            <w:tcW w:w="3329" w:type="dxa"/>
            <w:gridSpan w:val="2"/>
            <w:noWrap w:val="0"/>
            <w:vAlign w:val="top"/>
          </w:tcPr>
          <w:p>
            <w:pPr>
              <w:pStyle w:val="102"/>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0" w:type="dxa"/>
            <w:gridSpan w:val="2"/>
            <w:noWrap w:val="0"/>
            <w:vAlign w:val="top"/>
          </w:tcPr>
          <w:p>
            <w:pPr>
              <w:pStyle w:val="102"/>
            </w:pPr>
            <w:r>
              <w:rPr>
                <w:rFonts w:hint="eastAsia"/>
                <w:lang w:eastAsia="zh-CN"/>
              </w:rPr>
              <w:t>D</w:t>
            </w:r>
            <w:r>
              <w:rPr>
                <w:lang w:eastAsia="zh-CN"/>
              </w:rPr>
              <w:t>isableUENotification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contVer</w:t>
            </w:r>
          </w:p>
        </w:tc>
        <w:tc>
          <w:tcPr>
            <w:tcW w:w="1800" w:type="dxa"/>
            <w:gridSpan w:val="2"/>
            <w:noWrap w:val="0"/>
            <w:vAlign w:val="top"/>
          </w:tcPr>
          <w:p>
            <w:pPr>
              <w:pStyle w:val="102"/>
            </w:pPr>
            <w:r>
              <w:t>ContentVersion</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329" w:type="dxa"/>
            <w:gridSpan w:val="2"/>
            <w:noWrap w:val="0"/>
            <w:vAlign w:val="top"/>
          </w:tcPr>
          <w:p>
            <w:pPr>
              <w:pStyle w:val="102"/>
              <w:rPr>
                <w:rFonts w:cs="Arial"/>
                <w:szCs w:val="18"/>
              </w:rPr>
            </w:pPr>
            <w:r>
              <w:rPr>
                <w:rFonts w:cs="Arial"/>
                <w:szCs w:val="18"/>
              </w:rPr>
              <w:t>Represents the content version of a media component.</w:t>
            </w:r>
          </w:p>
        </w:tc>
        <w:tc>
          <w:tcPr>
            <w:tcW w:w="1350" w:type="dxa"/>
            <w:gridSpan w:val="2"/>
            <w:noWrap w:val="0"/>
            <w:vAlign w:val="top"/>
          </w:tcPr>
          <w:p>
            <w:pPr>
              <w:pStyle w:val="102"/>
              <w:rPr>
                <w:rFonts w:cs="Arial"/>
                <w:szCs w:val="18"/>
              </w:rPr>
            </w:pPr>
            <w:r>
              <w:rPr>
                <w:rFonts w:cs="Arial"/>
                <w:szCs w:val="18"/>
              </w:rPr>
              <w:t>MediaComponentVersioning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desMaxLatency</w:t>
            </w:r>
          </w:p>
        </w:tc>
        <w:tc>
          <w:tcPr>
            <w:tcW w:w="1800" w:type="dxa"/>
            <w:gridSpan w:val="2"/>
            <w:noWrap w:val="0"/>
            <w:vAlign w:val="top"/>
          </w:tcPr>
          <w:p>
            <w:pPr>
              <w:pStyle w:val="102"/>
            </w:pPr>
            <w:r>
              <w:t>FloatRm</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329" w:type="dxa"/>
            <w:gridSpan w:val="2"/>
            <w:noWrap w:val="0"/>
            <w:vAlign w:val="top"/>
          </w:tcPr>
          <w:p>
            <w:pPr>
              <w:pStyle w:val="102"/>
              <w:rPr>
                <w:rFonts w:cs="Arial"/>
                <w:szCs w:val="18"/>
              </w:rPr>
            </w:pPr>
            <w:r>
              <w:t>Indicates</w:t>
            </w:r>
            <w:r>
              <w:rPr>
                <w:lang w:eastAsia="zh-CN"/>
              </w:rPr>
              <w:t xml:space="preserve"> a </w:t>
            </w:r>
            <w:r>
              <w:t>maximum desirable transport level packet latency in milliseconds.</w:t>
            </w:r>
          </w:p>
        </w:tc>
        <w:tc>
          <w:tcPr>
            <w:tcW w:w="1350" w:type="dxa"/>
            <w:gridSpan w:val="2"/>
            <w:noWrap w:val="0"/>
            <w:vAlign w:val="top"/>
          </w:tcPr>
          <w:p>
            <w:pPr>
              <w:pStyle w:val="102"/>
              <w:rPr>
                <w:rFonts w:cs="Arial"/>
                <w:szCs w:val="18"/>
              </w:rPr>
            </w:pPr>
            <w:r>
              <w:rPr>
                <w:rFonts w:cs="Arial"/>
                <w:szCs w:val="18"/>
              </w:rPr>
              <w:t>FLUS,</w:t>
            </w:r>
            <w:r>
              <w:t xml:space="preserve"> QoSHint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desMaxLoss</w:t>
            </w:r>
          </w:p>
        </w:tc>
        <w:tc>
          <w:tcPr>
            <w:tcW w:w="1800" w:type="dxa"/>
            <w:gridSpan w:val="2"/>
            <w:noWrap w:val="0"/>
            <w:vAlign w:val="top"/>
          </w:tcPr>
          <w:p>
            <w:pPr>
              <w:pStyle w:val="102"/>
            </w:pPr>
            <w:r>
              <w:t>FloatRm</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329" w:type="dxa"/>
            <w:gridSpan w:val="2"/>
            <w:noWrap w:val="0"/>
            <w:vAlign w:val="top"/>
          </w:tcPr>
          <w:p>
            <w:pPr>
              <w:pStyle w:val="102"/>
              <w:rPr>
                <w:rFonts w:cs="Arial"/>
                <w:szCs w:val="18"/>
              </w:rPr>
            </w:pPr>
            <w:r>
              <w:t>Indicates the maximum desirable transport level packet loss rate in percent (without "%" sign).</w:t>
            </w:r>
          </w:p>
        </w:tc>
        <w:tc>
          <w:tcPr>
            <w:tcW w:w="1350" w:type="dxa"/>
            <w:gridSpan w:val="2"/>
            <w:noWrap w:val="0"/>
            <w:vAlign w:val="top"/>
          </w:tcPr>
          <w:p>
            <w:pPr>
              <w:pStyle w:val="102"/>
              <w:rPr>
                <w:rFonts w:cs="Arial"/>
                <w:szCs w:val="18"/>
              </w:rPr>
            </w:pPr>
            <w:r>
              <w:rPr>
                <w:rFonts w:cs="Arial"/>
                <w:szCs w:val="18"/>
              </w:rPr>
              <w:t>FLUS,</w:t>
            </w:r>
            <w:r>
              <w:t xml:space="preserve"> QoSHint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flusId</w:t>
            </w:r>
          </w:p>
        </w:tc>
        <w:tc>
          <w:tcPr>
            <w:tcW w:w="1800" w:type="dxa"/>
            <w:gridSpan w:val="2"/>
            <w:noWrap w:val="0"/>
            <w:vAlign w:val="top"/>
          </w:tcPr>
          <w:p>
            <w:pPr>
              <w:pStyle w:val="102"/>
            </w:pPr>
            <w:r>
              <w:t>string</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329" w:type="dxa"/>
            <w:gridSpan w:val="2"/>
            <w:noWrap w:val="0"/>
            <w:vAlign w:val="top"/>
          </w:tcPr>
          <w:p>
            <w:pPr>
              <w:pStyle w:val="102"/>
              <w:rPr>
                <w:rFonts w:cs="Arial"/>
                <w:szCs w:val="18"/>
              </w:rPr>
            </w:pPr>
            <w:r>
              <w:t>Indicates that the media component is used for FLUS media.</w:t>
            </w:r>
          </w:p>
          <w:p>
            <w:pPr>
              <w:pStyle w:val="102"/>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350" w:type="dxa"/>
            <w:gridSpan w:val="2"/>
            <w:noWrap w:val="0"/>
            <w:vAlign w:val="top"/>
          </w:tcPr>
          <w:p>
            <w:pPr>
              <w:pStyle w:val="102"/>
              <w:rPr>
                <w:rFonts w:cs="Arial"/>
                <w:szCs w:val="18"/>
              </w:rPr>
            </w:pPr>
            <w:r>
              <w:rPr>
                <w:rFonts w:cs="Arial"/>
                <w:szCs w:val="18"/>
              </w:rPr>
              <w:t>FLUS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maxPacketLossRateDl</w:t>
            </w:r>
          </w:p>
        </w:tc>
        <w:tc>
          <w:tcPr>
            <w:tcW w:w="1800" w:type="dxa"/>
            <w:gridSpan w:val="2"/>
            <w:noWrap w:val="0"/>
            <w:vAlign w:val="top"/>
          </w:tcPr>
          <w:p>
            <w:pPr>
              <w:pStyle w:val="102"/>
            </w:pPr>
            <w:r>
              <w:t>PacketLossRateRm</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329" w:type="dxa"/>
            <w:gridSpan w:val="2"/>
            <w:noWrap w:val="0"/>
            <w:vAlign w:val="top"/>
          </w:tcPr>
          <w:p>
            <w:pPr>
              <w:pStyle w:val="102"/>
              <w:rPr>
                <w:rFonts w:cs="Arial"/>
                <w:szCs w:val="18"/>
              </w:rPr>
            </w:pPr>
            <w:r>
              <w:rPr>
                <w:rFonts w:cs="Arial"/>
                <w:szCs w:val="18"/>
              </w:rPr>
              <w:t>Indicates the downlink maximum rate for lost packets that can be tolerated for the service data flow.</w:t>
            </w:r>
          </w:p>
        </w:tc>
        <w:tc>
          <w:tcPr>
            <w:tcW w:w="1350" w:type="dxa"/>
            <w:gridSpan w:val="2"/>
            <w:noWrap w:val="0"/>
            <w:vAlign w:val="top"/>
          </w:tcPr>
          <w:p>
            <w:pPr>
              <w:pStyle w:val="102"/>
              <w:rPr>
                <w:rFonts w:cs="Arial"/>
                <w:szCs w:val="18"/>
              </w:rPr>
            </w:pPr>
            <w:r>
              <w:rPr>
                <w:rFonts w:cs="Arial"/>
                <w:szCs w:val="18"/>
              </w:rPr>
              <w:t>CHEM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maxPacketLossRateUl</w:t>
            </w:r>
          </w:p>
        </w:tc>
        <w:tc>
          <w:tcPr>
            <w:tcW w:w="1800" w:type="dxa"/>
            <w:gridSpan w:val="2"/>
            <w:noWrap w:val="0"/>
            <w:vAlign w:val="top"/>
          </w:tcPr>
          <w:p>
            <w:pPr>
              <w:pStyle w:val="102"/>
            </w:pPr>
            <w:r>
              <w:t>PacketLossRateRm</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329" w:type="dxa"/>
            <w:gridSpan w:val="2"/>
            <w:noWrap w:val="0"/>
            <w:vAlign w:val="top"/>
          </w:tcPr>
          <w:p>
            <w:pPr>
              <w:pStyle w:val="102"/>
              <w:rPr>
                <w:rFonts w:cs="Arial"/>
                <w:szCs w:val="18"/>
              </w:rPr>
            </w:pPr>
            <w:r>
              <w:rPr>
                <w:rFonts w:cs="Arial"/>
                <w:szCs w:val="18"/>
              </w:rPr>
              <w:t>Indicates the uplink maximum rate for lost packets that can be tolerated for the service data flow.</w:t>
            </w:r>
          </w:p>
        </w:tc>
        <w:tc>
          <w:tcPr>
            <w:tcW w:w="1350" w:type="dxa"/>
            <w:gridSpan w:val="2"/>
            <w:noWrap w:val="0"/>
            <w:vAlign w:val="top"/>
          </w:tcPr>
          <w:p>
            <w:pPr>
              <w:pStyle w:val="102"/>
              <w:rPr>
                <w:rFonts w:cs="Arial"/>
                <w:szCs w:val="18"/>
              </w:rPr>
            </w:pPr>
            <w:r>
              <w:rPr>
                <w:rFonts w:cs="Arial"/>
                <w:szCs w:val="18"/>
              </w:rPr>
              <w:t>CHEM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medCompN</w:t>
            </w:r>
          </w:p>
        </w:tc>
        <w:tc>
          <w:tcPr>
            <w:tcW w:w="1800" w:type="dxa"/>
            <w:gridSpan w:val="2"/>
            <w:noWrap w:val="0"/>
            <w:vAlign w:val="top"/>
          </w:tcPr>
          <w:p>
            <w:pPr>
              <w:pStyle w:val="102"/>
            </w:pPr>
            <w:r>
              <w:t>integer</w:t>
            </w:r>
          </w:p>
        </w:tc>
        <w:tc>
          <w:tcPr>
            <w:tcW w:w="361" w:type="dxa"/>
            <w:gridSpan w:val="2"/>
            <w:noWrap w:val="0"/>
            <w:vAlign w:val="top"/>
          </w:tcPr>
          <w:p>
            <w:pPr>
              <w:pStyle w:val="101"/>
            </w:pPr>
            <w:r>
              <w:t>M</w:t>
            </w:r>
          </w:p>
        </w:tc>
        <w:tc>
          <w:tcPr>
            <w:tcW w:w="1170" w:type="dxa"/>
            <w:gridSpan w:val="2"/>
            <w:noWrap w:val="0"/>
            <w:vAlign w:val="top"/>
          </w:tcPr>
          <w:p>
            <w:pPr>
              <w:pStyle w:val="101"/>
            </w:pPr>
            <w:r>
              <w:t>1</w:t>
            </w:r>
          </w:p>
        </w:tc>
        <w:tc>
          <w:tcPr>
            <w:tcW w:w="3329" w:type="dxa"/>
            <w:gridSpan w:val="2"/>
            <w:noWrap w:val="0"/>
            <w:vAlign w:val="top"/>
          </w:tcPr>
          <w:p>
            <w:pPr>
              <w:pStyle w:val="102"/>
              <w:rPr>
                <w:rFonts w:cs="Arial"/>
                <w:szCs w:val="18"/>
              </w:rPr>
            </w:pPr>
            <w:r>
              <w:rPr>
                <w:rFonts w:cs="Arial"/>
                <w:szCs w:val="18"/>
              </w:rPr>
              <w:t>Identifies the media component number, and it contains the ordinal number of the media component.</w:t>
            </w:r>
          </w:p>
        </w:tc>
        <w:tc>
          <w:tcPr>
            <w:tcW w:w="1350" w:type="dxa"/>
            <w:gridSpan w:val="2"/>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medSubComps</w:t>
            </w:r>
          </w:p>
        </w:tc>
        <w:tc>
          <w:tcPr>
            <w:tcW w:w="1800" w:type="dxa"/>
            <w:gridSpan w:val="2"/>
            <w:noWrap w:val="0"/>
            <w:vAlign w:val="top"/>
          </w:tcPr>
          <w:p>
            <w:pPr>
              <w:pStyle w:val="102"/>
            </w:pPr>
            <w:r>
              <w:t>map(MediaSubComponentRm)</w:t>
            </w:r>
          </w:p>
        </w:tc>
        <w:tc>
          <w:tcPr>
            <w:tcW w:w="361" w:type="dxa"/>
            <w:gridSpan w:val="2"/>
            <w:noWrap w:val="0"/>
            <w:vAlign w:val="top"/>
          </w:tcPr>
          <w:p>
            <w:pPr>
              <w:pStyle w:val="101"/>
            </w:pPr>
            <w:r>
              <w:t>O</w:t>
            </w:r>
          </w:p>
        </w:tc>
        <w:tc>
          <w:tcPr>
            <w:tcW w:w="1170" w:type="dxa"/>
            <w:gridSpan w:val="2"/>
            <w:noWrap w:val="0"/>
            <w:vAlign w:val="top"/>
          </w:tcPr>
          <w:p>
            <w:pPr>
              <w:pStyle w:val="101"/>
            </w:pPr>
            <w:r>
              <w:t>1..N</w:t>
            </w:r>
          </w:p>
        </w:tc>
        <w:tc>
          <w:tcPr>
            <w:tcW w:w="3329" w:type="dxa"/>
            <w:gridSpan w:val="2"/>
            <w:noWrap w:val="0"/>
            <w:vAlign w:val="top"/>
          </w:tcPr>
          <w:p>
            <w:pPr>
              <w:pStyle w:val="102"/>
            </w:pPr>
            <w:r>
              <w:rPr>
                <w:rFonts w:cs="Arial"/>
                <w:szCs w:val="18"/>
              </w:rPr>
              <w:t xml:space="preserve">Contains the requested bitrate and filters for the set of service data flows identified by their common flow identifier. The key of the map is the attribute </w:t>
            </w:r>
            <w:r>
              <w:t>"fNum".</w:t>
            </w:r>
          </w:p>
          <w:p>
            <w:pPr>
              <w:pStyle w:val="102"/>
              <w:rPr>
                <w:rFonts w:cs="Arial"/>
                <w:szCs w:val="18"/>
              </w:rPr>
            </w:pPr>
            <w:r>
              <w:t>(NOTE 3)</w:t>
            </w:r>
          </w:p>
        </w:tc>
        <w:tc>
          <w:tcPr>
            <w:tcW w:w="1350" w:type="dxa"/>
            <w:gridSpan w:val="2"/>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medType</w:t>
            </w:r>
          </w:p>
        </w:tc>
        <w:tc>
          <w:tcPr>
            <w:tcW w:w="1800" w:type="dxa"/>
            <w:gridSpan w:val="2"/>
            <w:noWrap w:val="0"/>
            <w:vAlign w:val="top"/>
          </w:tcPr>
          <w:p>
            <w:pPr>
              <w:pStyle w:val="102"/>
            </w:pPr>
            <w:r>
              <w:t>MediaType</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329" w:type="dxa"/>
            <w:gridSpan w:val="2"/>
            <w:noWrap w:val="0"/>
            <w:vAlign w:val="top"/>
          </w:tcPr>
          <w:p>
            <w:pPr>
              <w:pStyle w:val="102"/>
              <w:rPr>
                <w:rFonts w:cs="Arial"/>
                <w:szCs w:val="18"/>
              </w:rPr>
            </w:pPr>
            <w:r>
              <w:rPr>
                <w:rFonts w:cs="Arial"/>
                <w:szCs w:val="18"/>
              </w:rPr>
              <w:t>Indicates the media type of the service.</w:t>
            </w:r>
          </w:p>
        </w:tc>
        <w:tc>
          <w:tcPr>
            <w:tcW w:w="1350" w:type="dxa"/>
            <w:gridSpan w:val="2"/>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marBwUl</w:t>
            </w:r>
          </w:p>
        </w:tc>
        <w:tc>
          <w:tcPr>
            <w:tcW w:w="1800" w:type="dxa"/>
            <w:gridSpan w:val="2"/>
            <w:noWrap w:val="0"/>
            <w:vAlign w:val="top"/>
          </w:tcPr>
          <w:p>
            <w:pPr>
              <w:pStyle w:val="102"/>
            </w:pPr>
            <w:r>
              <w:rPr>
                <w:rFonts w:cs="Arial"/>
              </w:rPr>
              <w:t>BitRateRm</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329" w:type="dxa"/>
            <w:gridSpan w:val="2"/>
            <w:noWrap w:val="0"/>
            <w:vAlign w:val="top"/>
          </w:tcPr>
          <w:p>
            <w:pPr>
              <w:pStyle w:val="102"/>
              <w:rPr>
                <w:rFonts w:cs="Arial"/>
                <w:szCs w:val="18"/>
              </w:rPr>
            </w:pPr>
            <w:r>
              <w:rPr>
                <w:rFonts w:cs="Arial"/>
                <w:szCs w:val="18"/>
              </w:rPr>
              <w:t>Maximum requested bandwidth for the Uplink.</w:t>
            </w:r>
          </w:p>
        </w:tc>
        <w:tc>
          <w:tcPr>
            <w:tcW w:w="1350" w:type="dxa"/>
            <w:gridSpan w:val="2"/>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marBwDl</w:t>
            </w:r>
          </w:p>
        </w:tc>
        <w:tc>
          <w:tcPr>
            <w:tcW w:w="1800" w:type="dxa"/>
            <w:gridSpan w:val="2"/>
            <w:noWrap w:val="0"/>
            <w:vAlign w:val="top"/>
          </w:tcPr>
          <w:p>
            <w:pPr>
              <w:pStyle w:val="102"/>
            </w:pPr>
            <w:r>
              <w:rPr>
                <w:rFonts w:cs="Arial"/>
              </w:rPr>
              <w:t>BitRateRm</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329" w:type="dxa"/>
            <w:gridSpan w:val="2"/>
            <w:noWrap w:val="0"/>
            <w:vAlign w:val="top"/>
          </w:tcPr>
          <w:p>
            <w:pPr>
              <w:pStyle w:val="102"/>
              <w:rPr>
                <w:rFonts w:cs="Arial"/>
                <w:szCs w:val="18"/>
              </w:rPr>
            </w:pPr>
            <w:r>
              <w:rPr>
                <w:rFonts w:cs="Arial"/>
                <w:szCs w:val="18"/>
              </w:rPr>
              <w:t>Maximum requested bandwidth for the Downlink.</w:t>
            </w:r>
          </w:p>
        </w:tc>
        <w:tc>
          <w:tcPr>
            <w:tcW w:w="1350" w:type="dxa"/>
            <w:gridSpan w:val="2"/>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maxSuppBwDl</w:t>
            </w:r>
          </w:p>
        </w:tc>
        <w:tc>
          <w:tcPr>
            <w:tcW w:w="1800" w:type="dxa"/>
            <w:gridSpan w:val="2"/>
            <w:noWrap w:val="0"/>
            <w:vAlign w:val="top"/>
          </w:tcPr>
          <w:p>
            <w:pPr>
              <w:pStyle w:val="102"/>
              <w:rPr>
                <w:rFonts w:cs="Arial"/>
              </w:rPr>
            </w:pPr>
            <w:r>
              <w:rPr>
                <w:rFonts w:cs="Arial"/>
              </w:rPr>
              <w:t>BitRateRm</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329" w:type="dxa"/>
            <w:gridSpan w:val="2"/>
            <w:noWrap w:val="0"/>
            <w:vAlign w:val="top"/>
          </w:tcPr>
          <w:p>
            <w:pPr>
              <w:pStyle w:val="102"/>
              <w:rPr>
                <w:rFonts w:cs="Arial"/>
                <w:szCs w:val="18"/>
              </w:rPr>
            </w:pPr>
            <w:r>
              <w:rPr>
                <w:rFonts w:cs="Arial"/>
                <w:szCs w:val="18"/>
              </w:rPr>
              <w:t>Maximum supported bandwidth for the Downlink.</w:t>
            </w:r>
          </w:p>
        </w:tc>
        <w:tc>
          <w:tcPr>
            <w:tcW w:w="1350" w:type="dxa"/>
            <w:gridSpan w:val="2"/>
            <w:noWrap w:val="0"/>
            <w:vAlign w:val="top"/>
          </w:tcPr>
          <w:p>
            <w:pPr>
              <w:pStyle w:val="102"/>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maxSuppBwUl</w:t>
            </w:r>
          </w:p>
        </w:tc>
        <w:tc>
          <w:tcPr>
            <w:tcW w:w="1800" w:type="dxa"/>
            <w:gridSpan w:val="2"/>
            <w:noWrap w:val="0"/>
            <w:vAlign w:val="top"/>
          </w:tcPr>
          <w:p>
            <w:pPr>
              <w:pStyle w:val="102"/>
              <w:rPr>
                <w:rFonts w:cs="Arial"/>
              </w:rPr>
            </w:pPr>
            <w:r>
              <w:rPr>
                <w:rFonts w:cs="Arial"/>
              </w:rPr>
              <w:t>BitRateRm</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329" w:type="dxa"/>
            <w:gridSpan w:val="2"/>
            <w:noWrap w:val="0"/>
            <w:vAlign w:val="top"/>
          </w:tcPr>
          <w:p>
            <w:pPr>
              <w:pStyle w:val="102"/>
              <w:rPr>
                <w:rFonts w:cs="Arial"/>
                <w:szCs w:val="18"/>
              </w:rPr>
            </w:pPr>
            <w:r>
              <w:rPr>
                <w:rFonts w:cs="Arial"/>
                <w:szCs w:val="18"/>
              </w:rPr>
              <w:t>Maximum supported bandwidth for the Uplink.</w:t>
            </w:r>
          </w:p>
        </w:tc>
        <w:tc>
          <w:tcPr>
            <w:tcW w:w="1350" w:type="dxa"/>
            <w:gridSpan w:val="2"/>
            <w:noWrap w:val="0"/>
            <w:vAlign w:val="top"/>
          </w:tcPr>
          <w:p>
            <w:pPr>
              <w:pStyle w:val="102"/>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minDesBwDl</w:t>
            </w:r>
          </w:p>
        </w:tc>
        <w:tc>
          <w:tcPr>
            <w:tcW w:w="1800" w:type="dxa"/>
            <w:gridSpan w:val="2"/>
            <w:noWrap w:val="0"/>
            <w:vAlign w:val="top"/>
          </w:tcPr>
          <w:p>
            <w:pPr>
              <w:pStyle w:val="102"/>
              <w:rPr>
                <w:rFonts w:cs="Arial"/>
              </w:rPr>
            </w:pPr>
            <w:r>
              <w:rPr>
                <w:rFonts w:cs="Arial"/>
              </w:rPr>
              <w:t>BitRateRm</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329" w:type="dxa"/>
            <w:gridSpan w:val="2"/>
            <w:noWrap w:val="0"/>
            <w:vAlign w:val="top"/>
          </w:tcPr>
          <w:p>
            <w:pPr>
              <w:pStyle w:val="102"/>
              <w:rPr>
                <w:rFonts w:cs="Arial"/>
                <w:szCs w:val="18"/>
              </w:rPr>
            </w:pPr>
            <w:r>
              <w:rPr>
                <w:rFonts w:cs="Arial"/>
                <w:szCs w:val="18"/>
              </w:rPr>
              <w:t>Minimum desired bandwidth for the Downlink.</w:t>
            </w:r>
          </w:p>
        </w:tc>
        <w:tc>
          <w:tcPr>
            <w:tcW w:w="1350" w:type="dxa"/>
            <w:gridSpan w:val="2"/>
            <w:noWrap w:val="0"/>
            <w:vAlign w:val="top"/>
          </w:tcPr>
          <w:p>
            <w:pPr>
              <w:pStyle w:val="102"/>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minDesBwUl</w:t>
            </w:r>
          </w:p>
        </w:tc>
        <w:tc>
          <w:tcPr>
            <w:tcW w:w="1800" w:type="dxa"/>
            <w:gridSpan w:val="2"/>
            <w:noWrap w:val="0"/>
            <w:vAlign w:val="top"/>
          </w:tcPr>
          <w:p>
            <w:pPr>
              <w:pStyle w:val="102"/>
              <w:rPr>
                <w:rFonts w:cs="Arial"/>
              </w:rPr>
            </w:pPr>
            <w:r>
              <w:rPr>
                <w:rFonts w:cs="Arial"/>
              </w:rPr>
              <w:t>BitRateRm</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329" w:type="dxa"/>
            <w:gridSpan w:val="2"/>
            <w:noWrap w:val="0"/>
            <w:vAlign w:val="top"/>
          </w:tcPr>
          <w:p>
            <w:pPr>
              <w:pStyle w:val="102"/>
              <w:rPr>
                <w:rFonts w:cs="Arial"/>
                <w:szCs w:val="18"/>
              </w:rPr>
            </w:pPr>
            <w:r>
              <w:rPr>
                <w:rFonts w:cs="Arial"/>
                <w:szCs w:val="18"/>
              </w:rPr>
              <w:t>Minimum desired bandwidth for the Uplink.</w:t>
            </w:r>
          </w:p>
        </w:tc>
        <w:tc>
          <w:tcPr>
            <w:tcW w:w="1350" w:type="dxa"/>
            <w:gridSpan w:val="2"/>
            <w:noWrap w:val="0"/>
            <w:vAlign w:val="top"/>
          </w:tcPr>
          <w:p>
            <w:pPr>
              <w:pStyle w:val="102"/>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mirBwUl</w:t>
            </w:r>
          </w:p>
        </w:tc>
        <w:tc>
          <w:tcPr>
            <w:tcW w:w="1800" w:type="dxa"/>
            <w:gridSpan w:val="2"/>
            <w:noWrap w:val="0"/>
            <w:vAlign w:val="top"/>
          </w:tcPr>
          <w:p>
            <w:pPr>
              <w:pStyle w:val="102"/>
            </w:pPr>
            <w:r>
              <w:rPr>
                <w:rFonts w:cs="Arial"/>
              </w:rPr>
              <w:t>BitRateRm</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329" w:type="dxa"/>
            <w:gridSpan w:val="2"/>
            <w:noWrap w:val="0"/>
            <w:vAlign w:val="top"/>
          </w:tcPr>
          <w:p>
            <w:pPr>
              <w:pStyle w:val="102"/>
              <w:rPr>
                <w:rFonts w:cs="Arial"/>
                <w:szCs w:val="18"/>
              </w:rPr>
            </w:pPr>
            <w:r>
              <w:rPr>
                <w:rFonts w:cs="Arial"/>
                <w:szCs w:val="18"/>
              </w:rPr>
              <w:t>Minimum requested bandwidth for the Uplink.</w:t>
            </w:r>
          </w:p>
        </w:tc>
        <w:tc>
          <w:tcPr>
            <w:tcW w:w="1350" w:type="dxa"/>
            <w:gridSpan w:val="2"/>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mirBwDl</w:t>
            </w:r>
          </w:p>
        </w:tc>
        <w:tc>
          <w:tcPr>
            <w:tcW w:w="1800" w:type="dxa"/>
            <w:gridSpan w:val="2"/>
            <w:noWrap w:val="0"/>
            <w:vAlign w:val="top"/>
          </w:tcPr>
          <w:p>
            <w:pPr>
              <w:pStyle w:val="102"/>
            </w:pPr>
            <w:r>
              <w:rPr>
                <w:rFonts w:cs="Arial"/>
              </w:rPr>
              <w:t>BitRateRm</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329" w:type="dxa"/>
            <w:gridSpan w:val="2"/>
            <w:noWrap w:val="0"/>
            <w:vAlign w:val="top"/>
          </w:tcPr>
          <w:p>
            <w:pPr>
              <w:pStyle w:val="102"/>
              <w:rPr>
                <w:rFonts w:cs="Arial"/>
                <w:szCs w:val="18"/>
              </w:rPr>
            </w:pPr>
            <w:r>
              <w:rPr>
                <w:rFonts w:cs="Arial"/>
                <w:szCs w:val="18"/>
              </w:rPr>
              <w:t>Minimum requested bandwidth for the Downlink.</w:t>
            </w:r>
          </w:p>
        </w:tc>
        <w:tc>
          <w:tcPr>
            <w:tcW w:w="1350" w:type="dxa"/>
            <w:gridSpan w:val="2"/>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fStatus</w:t>
            </w:r>
          </w:p>
        </w:tc>
        <w:tc>
          <w:tcPr>
            <w:tcW w:w="1800" w:type="dxa"/>
            <w:gridSpan w:val="2"/>
            <w:noWrap w:val="0"/>
            <w:vAlign w:val="top"/>
          </w:tcPr>
          <w:p>
            <w:pPr>
              <w:pStyle w:val="102"/>
            </w:pPr>
            <w:r>
              <w:t>FlowStatus</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329" w:type="dxa"/>
            <w:gridSpan w:val="2"/>
            <w:noWrap w:val="0"/>
            <w:vAlign w:val="top"/>
          </w:tcPr>
          <w:p>
            <w:pPr>
              <w:pStyle w:val="102"/>
              <w:rPr>
                <w:rFonts w:cs="Arial"/>
                <w:szCs w:val="18"/>
              </w:rPr>
            </w:pPr>
            <w:r>
              <w:rPr>
                <w:rFonts w:cs="Arial"/>
                <w:szCs w:val="18"/>
              </w:rPr>
              <w:t>Indicates whether the status of the service data flows is enabled, or disabled.</w:t>
            </w:r>
          </w:p>
        </w:tc>
        <w:tc>
          <w:tcPr>
            <w:tcW w:w="1350" w:type="dxa"/>
            <w:gridSpan w:val="2"/>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preemptCap</w:t>
            </w:r>
          </w:p>
        </w:tc>
        <w:tc>
          <w:tcPr>
            <w:tcW w:w="1800" w:type="dxa"/>
            <w:gridSpan w:val="2"/>
            <w:noWrap w:val="0"/>
            <w:vAlign w:val="top"/>
          </w:tcPr>
          <w:p>
            <w:pPr>
              <w:pStyle w:val="102"/>
            </w:pPr>
            <w:r>
              <w:t>PreemptionCapabilityRm</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329" w:type="dxa"/>
            <w:gridSpan w:val="2"/>
            <w:noWrap w:val="0"/>
            <w:vAlign w:val="top"/>
          </w:tcPr>
          <w:p>
            <w:pPr>
              <w:pStyle w:val="102"/>
              <w:rPr>
                <w:rFonts w:cs="Arial"/>
                <w:szCs w:val="18"/>
              </w:rPr>
            </w:pPr>
            <w:r>
              <w:t>Defines whether the media flow may get resources that were already assigned to another media flow with a lower priority level.</w:t>
            </w:r>
          </w:p>
        </w:tc>
        <w:tc>
          <w:tcPr>
            <w:tcW w:w="1350" w:type="dxa"/>
            <w:gridSpan w:val="2"/>
            <w:noWrap w:val="0"/>
            <w:vAlign w:val="top"/>
          </w:tcPr>
          <w:p>
            <w:pPr>
              <w:pStyle w:val="102"/>
              <w:rPr>
                <w:rFonts w:cs="Arial"/>
                <w:szCs w:val="18"/>
              </w:rPr>
            </w:pPr>
            <w:r>
              <w:rPr>
                <w:rFonts w:cs="Arial"/>
                <w:szCs w:val="18"/>
              </w:rPr>
              <w:t>MCPTT-Preemption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preemptVuln</w:t>
            </w:r>
          </w:p>
        </w:tc>
        <w:tc>
          <w:tcPr>
            <w:tcW w:w="1800" w:type="dxa"/>
            <w:gridSpan w:val="2"/>
            <w:noWrap w:val="0"/>
            <w:vAlign w:val="top"/>
          </w:tcPr>
          <w:p>
            <w:pPr>
              <w:pStyle w:val="102"/>
            </w:pPr>
            <w:r>
              <w:t>PreemptionVulnerabilityRm</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329" w:type="dxa"/>
            <w:gridSpan w:val="2"/>
            <w:noWrap w:val="0"/>
            <w:vAlign w:val="top"/>
          </w:tcPr>
          <w:p>
            <w:pPr>
              <w:pStyle w:val="102"/>
              <w:rPr>
                <w:rFonts w:cs="Arial"/>
                <w:szCs w:val="18"/>
              </w:rPr>
            </w:pPr>
            <w:r>
              <w:t>Defines whether the media flow may lose the resources assigned to it in order to admit a media flow with higher priority level.</w:t>
            </w:r>
          </w:p>
        </w:tc>
        <w:tc>
          <w:tcPr>
            <w:tcW w:w="1350" w:type="dxa"/>
            <w:gridSpan w:val="2"/>
            <w:noWrap w:val="0"/>
            <w:vAlign w:val="top"/>
          </w:tcPr>
          <w:p>
            <w:pPr>
              <w:pStyle w:val="102"/>
              <w:rPr>
                <w:rFonts w:cs="Arial"/>
                <w:szCs w:val="18"/>
              </w:rPr>
            </w:pPr>
            <w:r>
              <w:rPr>
                <w:rFonts w:cs="Arial"/>
                <w:szCs w:val="18"/>
              </w:rPr>
              <w:t>MCPTT-Preemption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prioSharingInd</w:t>
            </w:r>
          </w:p>
        </w:tc>
        <w:tc>
          <w:tcPr>
            <w:tcW w:w="1800" w:type="dxa"/>
            <w:gridSpan w:val="2"/>
            <w:noWrap w:val="0"/>
            <w:vAlign w:val="top"/>
          </w:tcPr>
          <w:p>
            <w:pPr>
              <w:pStyle w:val="102"/>
            </w:pPr>
            <w:r>
              <w:t>PrioritySharingIndicator</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329" w:type="dxa"/>
            <w:gridSpan w:val="2"/>
            <w:noWrap w:val="0"/>
            <w:vAlign w:val="top"/>
          </w:tcPr>
          <w:p>
            <w:pPr>
              <w:pStyle w:val="102"/>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350" w:type="dxa"/>
            <w:gridSpan w:val="2"/>
            <w:noWrap w:val="0"/>
            <w:vAlign w:val="top"/>
          </w:tcPr>
          <w:p>
            <w:pPr>
              <w:pStyle w:val="102"/>
              <w:rPr>
                <w:rFonts w:cs="Arial"/>
                <w:szCs w:val="18"/>
              </w:rPr>
            </w:pPr>
            <w:r>
              <w:rPr>
                <w:rFonts w:cs="Arial"/>
                <w:szCs w:val="18"/>
              </w:rPr>
              <w:t>PrioritySharing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resPrio</w:t>
            </w:r>
          </w:p>
        </w:tc>
        <w:tc>
          <w:tcPr>
            <w:tcW w:w="1800" w:type="dxa"/>
            <w:gridSpan w:val="2"/>
            <w:noWrap w:val="0"/>
            <w:vAlign w:val="top"/>
          </w:tcPr>
          <w:p>
            <w:pPr>
              <w:pStyle w:val="102"/>
            </w:pPr>
            <w:r>
              <w:t>ReservPriority</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329" w:type="dxa"/>
            <w:gridSpan w:val="2"/>
            <w:noWrap w:val="0"/>
            <w:vAlign w:val="top"/>
          </w:tcPr>
          <w:p>
            <w:pPr>
              <w:pStyle w:val="102"/>
              <w:rPr>
                <w:rFonts w:cs="Arial"/>
                <w:szCs w:val="18"/>
              </w:rPr>
            </w:pPr>
            <w:r>
              <w:rPr>
                <w:rFonts w:cs="Arial"/>
                <w:szCs w:val="18"/>
              </w:rPr>
              <w:t>Indicates the reservation priority.</w:t>
            </w:r>
          </w:p>
        </w:tc>
        <w:tc>
          <w:tcPr>
            <w:tcW w:w="1350" w:type="dxa"/>
            <w:gridSpan w:val="2"/>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rrBw</w:t>
            </w:r>
          </w:p>
        </w:tc>
        <w:tc>
          <w:tcPr>
            <w:tcW w:w="1800" w:type="dxa"/>
            <w:gridSpan w:val="2"/>
            <w:noWrap w:val="0"/>
            <w:vAlign w:val="top"/>
          </w:tcPr>
          <w:p>
            <w:pPr>
              <w:pStyle w:val="102"/>
            </w:pPr>
            <w:r>
              <w:t>BitRateRm</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329" w:type="dxa"/>
            <w:gridSpan w:val="2"/>
            <w:noWrap w:val="0"/>
            <w:vAlign w:val="top"/>
          </w:tcPr>
          <w:p>
            <w:pPr>
              <w:pStyle w:val="102"/>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0" w:type="dxa"/>
            <w:gridSpan w:val="2"/>
            <w:noWrap w:val="0"/>
            <w:vAlign w:val="top"/>
          </w:tcPr>
          <w:p>
            <w:pPr>
              <w:pStyle w:val="102"/>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rsBw</w:t>
            </w:r>
          </w:p>
        </w:tc>
        <w:tc>
          <w:tcPr>
            <w:tcW w:w="1800" w:type="dxa"/>
            <w:gridSpan w:val="2"/>
            <w:noWrap w:val="0"/>
            <w:vAlign w:val="top"/>
          </w:tcPr>
          <w:p>
            <w:pPr>
              <w:pStyle w:val="102"/>
            </w:pPr>
            <w:r>
              <w:t>BitRateRm</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329" w:type="dxa"/>
            <w:gridSpan w:val="2"/>
            <w:noWrap w:val="0"/>
            <w:vAlign w:val="top"/>
          </w:tcPr>
          <w:p>
            <w:pPr>
              <w:pStyle w:val="102"/>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0" w:type="dxa"/>
            <w:gridSpan w:val="2"/>
            <w:noWrap w:val="0"/>
            <w:vAlign w:val="top"/>
          </w:tcPr>
          <w:p>
            <w:pPr>
              <w:pStyle w:val="102"/>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codecs</w:t>
            </w:r>
          </w:p>
        </w:tc>
        <w:tc>
          <w:tcPr>
            <w:tcW w:w="1800" w:type="dxa"/>
            <w:gridSpan w:val="2"/>
            <w:noWrap w:val="0"/>
            <w:vAlign w:val="top"/>
          </w:tcPr>
          <w:p>
            <w:pPr>
              <w:pStyle w:val="102"/>
            </w:pPr>
            <w:r>
              <w:t>array(CodecData)</w:t>
            </w:r>
          </w:p>
        </w:tc>
        <w:tc>
          <w:tcPr>
            <w:tcW w:w="361" w:type="dxa"/>
            <w:gridSpan w:val="2"/>
            <w:noWrap w:val="0"/>
            <w:vAlign w:val="top"/>
          </w:tcPr>
          <w:p>
            <w:pPr>
              <w:pStyle w:val="101"/>
            </w:pPr>
            <w:r>
              <w:t>O</w:t>
            </w:r>
          </w:p>
        </w:tc>
        <w:tc>
          <w:tcPr>
            <w:tcW w:w="1170" w:type="dxa"/>
            <w:gridSpan w:val="2"/>
            <w:noWrap w:val="0"/>
            <w:vAlign w:val="top"/>
          </w:tcPr>
          <w:p>
            <w:pPr>
              <w:pStyle w:val="101"/>
            </w:pPr>
            <w:r>
              <w:t>1..2</w:t>
            </w:r>
          </w:p>
        </w:tc>
        <w:tc>
          <w:tcPr>
            <w:tcW w:w="3329" w:type="dxa"/>
            <w:gridSpan w:val="2"/>
            <w:noWrap w:val="0"/>
            <w:vAlign w:val="top"/>
          </w:tcPr>
          <w:p>
            <w:pPr>
              <w:pStyle w:val="102"/>
              <w:rPr>
                <w:rFonts w:cs="Arial"/>
                <w:szCs w:val="18"/>
              </w:rPr>
            </w:pPr>
            <w:r>
              <w:rPr>
                <w:rFonts w:cs="Arial"/>
                <w:szCs w:val="18"/>
              </w:rPr>
              <w:t>Indicates the codec data.</w:t>
            </w:r>
          </w:p>
        </w:tc>
        <w:tc>
          <w:tcPr>
            <w:tcW w:w="1350" w:type="dxa"/>
            <w:gridSpan w:val="2"/>
            <w:noWrap w:val="0"/>
            <w:vAlign w:val="top"/>
          </w:tcPr>
          <w:p>
            <w:pPr>
              <w:pStyle w:val="102"/>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sharingKeyDl</w:t>
            </w:r>
          </w:p>
        </w:tc>
        <w:tc>
          <w:tcPr>
            <w:tcW w:w="1800" w:type="dxa"/>
            <w:gridSpan w:val="2"/>
            <w:noWrap w:val="0"/>
            <w:vAlign w:val="top"/>
          </w:tcPr>
          <w:p>
            <w:pPr>
              <w:pStyle w:val="102"/>
            </w:pPr>
            <w:r>
              <w:t>Uint32Rm</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329" w:type="dxa"/>
            <w:gridSpan w:val="2"/>
            <w:noWrap w:val="0"/>
            <w:vAlign w:val="top"/>
          </w:tcPr>
          <w:p>
            <w:pPr>
              <w:pStyle w:val="102"/>
              <w:rPr>
                <w:rFonts w:cs="Arial"/>
                <w:szCs w:val="18"/>
              </w:rPr>
            </w:pPr>
            <w:r>
              <w:rPr>
                <w:rFonts w:cs="Arial"/>
                <w:szCs w:val="18"/>
              </w:rPr>
              <w:t>Identifies which media components share resources in the downlink direction.</w:t>
            </w:r>
          </w:p>
          <w:p>
            <w:pPr>
              <w:pStyle w:val="102"/>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sharingKeyDl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sharingKeyDl</w:t>
            </w:r>
            <w:r>
              <w:t>"</w:t>
            </w:r>
            <w:r>
              <w:rPr>
                <w:rFonts w:cs="Arial"/>
                <w:szCs w:val="18"/>
              </w:rPr>
              <w:t xml:space="preserve"> attribute shall be used.</w:t>
            </w:r>
          </w:p>
          <w:p>
            <w:pPr>
              <w:pStyle w:val="102"/>
              <w:rPr>
                <w:rFonts w:cs="Arial"/>
                <w:szCs w:val="18"/>
              </w:rPr>
            </w:pPr>
            <w:r>
              <w:rPr>
                <w:rFonts w:cs="Arial"/>
                <w:szCs w:val="18"/>
              </w:rPr>
              <w:t xml:space="preserve">If resource sharing does no longer apply for this media component, the </w:t>
            </w:r>
            <w:r>
              <w:t>"</w:t>
            </w:r>
            <w:r>
              <w:rPr>
                <w:rFonts w:cs="Arial"/>
                <w:szCs w:val="18"/>
              </w:rPr>
              <w:t>sharingKeyDl</w:t>
            </w:r>
            <w:r>
              <w:t>"</w:t>
            </w:r>
            <w:r>
              <w:rPr>
                <w:rFonts w:cs="Arial"/>
                <w:szCs w:val="18"/>
              </w:rPr>
              <w:t xml:space="preserve"> attribute shall be set to </w:t>
            </w:r>
            <w:r>
              <w:t>"</w:t>
            </w:r>
            <w:r>
              <w:rPr>
                <w:rFonts w:cs="Arial"/>
                <w:szCs w:val="18"/>
              </w:rPr>
              <w:t>null</w:t>
            </w:r>
            <w:r>
              <w:t>"</w:t>
            </w:r>
            <w:r>
              <w:rPr>
                <w:rFonts w:cs="Arial"/>
                <w:szCs w:val="18"/>
              </w:rPr>
              <w:t>.</w:t>
            </w:r>
          </w:p>
        </w:tc>
        <w:tc>
          <w:tcPr>
            <w:tcW w:w="1350" w:type="dxa"/>
            <w:gridSpan w:val="2"/>
            <w:noWrap w:val="0"/>
            <w:vAlign w:val="top"/>
          </w:tcPr>
          <w:p>
            <w:pPr>
              <w:pStyle w:val="102"/>
              <w:rPr>
                <w:rFonts w:cs="Arial"/>
                <w:szCs w:val="18"/>
              </w:rPr>
            </w:pPr>
            <w:r>
              <w:rPr>
                <w:rFonts w:cs="Arial"/>
                <w:szCs w:val="18"/>
              </w:rPr>
              <w:t>ResourceSharing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sharingKeyUl</w:t>
            </w:r>
          </w:p>
        </w:tc>
        <w:tc>
          <w:tcPr>
            <w:tcW w:w="1800" w:type="dxa"/>
            <w:gridSpan w:val="2"/>
            <w:noWrap w:val="0"/>
            <w:vAlign w:val="top"/>
          </w:tcPr>
          <w:p>
            <w:pPr>
              <w:pStyle w:val="102"/>
            </w:pPr>
            <w:r>
              <w:t>Uint32Rm</w:t>
            </w:r>
          </w:p>
        </w:tc>
        <w:tc>
          <w:tcPr>
            <w:tcW w:w="361" w:type="dxa"/>
            <w:gridSpan w:val="2"/>
            <w:noWrap w:val="0"/>
            <w:vAlign w:val="top"/>
          </w:tcPr>
          <w:p>
            <w:pPr>
              <w:pStyle w:val="101"/>
            </w:pPr>
            <w:r>
              <w:t>O</w:t>
            </w:r>
          </w:p>
        </w:tc>
        <w:tc>
          <w:tcPr>
            <w:tcW w:w="1170" w:type="dxa"/>
            <w:gridSpan w:val="2"/>
            <w:noWrap w:val="0"/>
            <w:vAlign w:val="top"/>
          </w:tcPr>
          <w:p>
            <w:pPr>
              <w:pStyle w:val="101"/>
            </w:pPr>
            <w:r>
              <w:t>0..1</w:t>
            </w:r>
          </w:p>
        </w:tc>
        <w:tc>
          <w:tcPr>
            <w:tcW w:w="3329" w:type="dxa"/>
            <w:gridSpan w:val="2"/>
            <w:noWrap w:val="0"/>
            <w:vAlign w:val="top"/>
          </w:tcPr>
          <w:p>
            <w:pPr>
              <w:pStyle w:val="102"/>
              <w:rPr>
                <w:rFonts w:cs="Arial"/>
                <w:szCs w:val="18"/>
              </w:rPr>
            </w:pPr>
            <w:r>
              <w:rPr>
                <w:rFonts w:cs="Arial"/>
                <w:szCs w:val="18"/>
              </w:rPr>
              <w:t>Identifies which media components share resources in the uplink direction.</w:t>
            </w:r>
          </w:p>
          <w:p>
            <w:pPr>
              <w:pStyle w:val="102"/>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sharingKeyUl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sharingKeyUl</w:t>
            </w:r>
            <w:r>
              <w:t>"</w:t>
            </w:r>
            <w:r>
              <w:rPr>
                <w:rFonts w:cs="Arial"/>
                <w:szCs w:val="18"/>
              </w:rPr>
              <w:t xml:space="preserve"> attribute shall be used.</w:t>
            </w:r>
          </w:p>
          <w:p>
            <w:pPr>
              <w:pStyle w:val="102"/>
              <w:rPr>
                <w:rFonts w:cs="Arial"/>
                <w:szCs w:val="18"/>
              </w:rPr>
            </w:pPr>
            <w:r>
              <w:rPr>
                <w:rFonts w:cs="Arial"/>
                <w:szCs w:val="18"/>
              </w:rPr>
              <w:t xml:space="preserve">If resource sharing does no longer apply for this media component, the </w:t>
            </w:r>
            <w:r>
              <w:t>"</w:t>
            </w:r>
            <w:r>
              <w:rPr>
                <w:rFonts w:cs="Arial"/>
                <w:szCs w:val="18"/>
              </w:rPr>
              <w:t>sharingKeyUl</w:t>
            </w:r>
            <w:r>
              <w:t>"</w:t>
            </w:r>
            <w:r>
              <w:rPr>
                <w:rFonts w:cs="Arial"/>
                <w:szCs w:val="18"/>
              </w:rPr>
              <w:t xml:space="preserve"> attribute shall be set to </w:t>
            </w:r>
            <w:r>
              <w:t>"</w:t>
            </w:r>
            <w:r>
              <w:rPr>
                <w:rFonts w:cs="Arial"/>
                <w:szCs w:val="18"/>
              </w:rPr>
              <w:t>null</w:t>
            </w:r>
            <w:r>
              <w:t>"</w:t>
            </w:r>
            <w:r>
              <w:rPr>
                <w:rFonts w:cs="Arial"/>
                <w:szCs w:val="18"/>
              </w:rPr>
              <w:t>.</w:t>
            </w:r>
          </w:p>
        </w:tc>
        <w:tc>
          <w:tcPr>
            <w:tcW w:w="1350" w:type="dxa"/>
            <w:gridSpan w:val="2"/>
            <w:noWrap w:val="0"/>
            <w:vAlign w:val="top"/>
          </w:tcPr>
          <w:p>
            <w:pPr>
              <w:pStyle w:val="102"/>
              <w:rPr>
                <w:rFonts w:cs="Arial"/>
                <w:szCs w:val="18"/>
              </w:rPr>
            </w:pPr>
            <w:r>
              <w:rPr>
                <w:rFonts w:cs="Arial"/>
                <w:szCs w:val="18"/>
              </w:rPr>
              <w:t>ResourceSharing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tsnQos</w:t>
            </w:r>
          </w:p>
        </w:tc>
        <w:tc>
          <w:tcPr>
            <w:tcW w:w="1800" w:type="dxa"/>
            <w:gridSpan w:val="2"/>
            <w:noWrap w:val="0"/>
            <w:vAlign w:val="top"/>
          </w:tcPr>
          <w:p>
            <w:pPr>
              <w:pStyle w:val="102"/>
            </w:pPr>
            <w:r>
              <w:t>TsnQoSContainerRm</w:t>
            </w:r>
          </w:p>
        </w:tc>
        <w:tc>
          <w:tcPr>
            <w:tcW w:w="361" w:type="dxa"/>
            <w:gridSpan w:val="2"/>
            <w:noWrap w:val="0"/>
            <w:vAlign w:val="top"/>
          </w:tcPr>
          <w:p>
            <w:pPr>
              <w:pStyle w:val="101"/>
            </w:pPr>
            <w:r>
              <w:t>O</w:t>
            </w:r>
          </w:p>
        </w:tc>
        <w:tc>
          <w:tcPr>
            <w:tcW w:w="1170" w:type="dxa"/>
            <w:gridSpan w:val="2"/>
            <w:noWrap w:val="0"/>
            <w:vAlign w:val="top"/>
          </w:tcPr>
          <w:p>
            <w:pPr>
              <w:pStyle w:val="101"/>
            </w:pPr>
            <w:r>
              <w:rPr>
                <w:lang w:eastAsia="zh-CN"/>
              </w:rPr>
              <w:t>0..1</w:t>
            </w:r>
          </w:p>
        </w:tc>
        <w:tc>
          <w:tcPr>
            <w:tcW w:w="3329" w:type="dxa"/>
            <w:gridSpan w:val="2"/>
            <w:noWrap w:val="0"/>
            <w:vAlign w:val="top"/>
          </w:tcPr>
          <w:p>
            <w:pPr>
              <w:pStyle w:val="102"/>
              <w:rPr>
                <w:rFonts w:cs="Arial"/>
                <w:szCs w:val="18"/>
              </w:rPr>
            </w:pPr>
            <w:r>
              <w:t>Transports QoS parameters for TSC traffic.</w:t>
            </w:r>
          </w:p>
        </w:tc>
        <w:tc>
          <w:tcPr>
            <w:tcW w:w="1350" w:type="dxa"/>
            <w:gridSpan w:val="2"/>
            <w:noWrap w:val="0"/>
            <w:vAlign w:val="top"/>
          </w:tcPr>
          <w:p>
            <w:pPr>
              <w:pStyle w:val="102"/>
            </w:pPr>
            <w:r>
              <w:t>TimeSensitiveNetworking</w:t>
            </w:r>
          </w:p>
          <w:p>
            <w:pPr>
              <w:pStyle w:val="102"/>
              <w:rPr>
                <w:rFonts w:cs="Arial"/>
                <w:szCs w:val="18"/>
              </w:rPr>
            </w:pPr>
            <w:ins w:id="6" w:author="CMCC" w:date="2024-04-08T11:08:31Z">
              <w:r>
                <w:rPr>
                  <w:rFonts w:cs="Arial"/>
                  <w:szCs w:val="18"/>
                </w:rPr>
                <w:t>MultiMedia</w:t>
              </w:r>
            </w:ins>
            <w:del w:id="7" w:author="CMCC" w:date="2024-04-08T11:08:31Z">
              <w:r>
                <w:rPr/>
                <w:delText>XRM_5G</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tscaiInputUl</w:t>
            </w:r>
          </w:p>
        </w:tc>
        <w:tc>
          <w:tcPr>
            <w:tcW w:w="1800" w:type="dxa"/>
            <w:gridSpan w:val="2"/>
            <w:noWrap w:val="0"/>
            <w:vAlign w:val="top"/>
          </w:tcPr>
          <w:p>
            <w:pPr>
              <w:pStyle w:val="102"/>
            </w:pPr>
            <w:r>
              <w:t>TscaiInputContainer</w:t>
            </w:r>
          </w:p>
        </w:tc>
        <w:tc>
          <w:tcPr>
            <w:tcW w:w="361" w:type="dxa"/>
            <w:gridSpan w:val="2"/>
            <w:noWrap w:val="0"/>
            <w:vAlign w:val="top"/>
          </w:tcPr>
          <w:p>
            <w:pPr>
              <w:pStyle w:val="101"/>
            </w:pPr>
            <w:r>
              <w:t>O</w:t>
            </w:r>
          </w:p>
        </w:tc>
        <w:tc>
          <w:tcPr>
            <w:tcW w:w="1170" w:type="dxa"/>
            <w:gridSpan w:val="2"/>
            <w:noWrap w:val="0"/>
            <w:vAlign w:val="top"/>
          </w:tcPr>
          <w:p>
            <w:pPr>
              <w:pStyle w:val="101"/>
            </w:pPr>
            <w:r>
              <w:rPr>
                <w:lang w:eastAsia="zh-CN"/>
              </w:rPr>
              <w:t>0..1</w:t>
            </w:r>
          </w:p>
        </w:tc>
        <w:tc>
          <w:tcPr>
            <w:tcW w:w="3329" w:type="dxa"/>
            <w:gridSpan w:val="2"/>
            <w:noWrap w:val="0"/>
            <w:vAlign w:val="top"/>
          </w:tcPr>
          <w:p>
            <w:pPr>
              <w:pStyle w:val="102"/>
              <w:rPr>
                <w:rFonts w:cs="Arial"/>
                <w:szCs w:val="18"/>
              </w:rPr>
            </w:pPr>
            <w:r>
              <w:t>Transports TSCAI input parameters for TSC traffic</w:t>
            </w:r>
            <w:r>
              <w:rPr>
                <w:rFonts w:cs="Arial"/>
                <w:szCs w:val="18"/>
              </w:rPr>
              <w:t xml:space="preserve"> at the ingress interface of the DS-TT/UE (uplink flow direction)</w:t>
            </w:r>
            <w:r>
              <w:t>.</w:t>
            </w:r>
          </w:p>
        </w:tc>
        <w:tc>
          <w:tcPr>
            <w:tcW w:w="1350" w:type="dxa"/>
            <w:gridSpan w:val="2"/>
            <w:noWrap w:val="0"/>
            <w:vAlign w:val="top"/>
          </w:tcPr>
          <w:p>
            <w:pPr>
              <w:pStyle w:val="102"/>
              <w:rPr>
                <w:rFonts w:cs="Arial"/>
                <w:szCs w:val="18"/>
              </w:rPr>
            </w:pPr>
            <w: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tscaiInputDl</w:t>
            </w:r>
          </w:p>
        </w:tc>
        <w:tc>
          <w:tcPr>
            <w:tcW w:w="1800" w:type="dxa"/>
            <w:gridSpan w:val="2"/>
            <w:noWrap w:val="0"/>
            <w:vAlign w:val="top"/>
          </w:tcPr>
          <w:p>
            <w:pPr>
              <w:pStyle w:val="102"/>
            </w:pPr>
            <w:r>
              <w:t>TscaiInputContainer</w:t>
            </w:r>
          </w:p>
        </w:tc>
        <w:tc>
          <w:tcPr>
            <w:tcW w:w="361" w:type="dxa"/>
            <w:gridSpan w:val="2"/>
            <w:noWrap w:val="0"/>
            <w:vAlign w:val="top"/>
          </w:tcPr>
          <w:p>
            <w:pPr>
              <w:pStyle w:val="101"/>
            </w:pPr>
            <w:r>
              <w:t>O</w:t>
            </w:r>
          </w:p>
        </w:tc>
        <w:tc>
          <w:tcPr>
            <w:tcW w:w="1170" w:type="dxa"/>
            <w:gridSpan w:val="2"/>
            <w:noWrap w:val="0"/>
            <w:vAlign w:val="top"/>
          </w:tcPr>
          <w:p>
            <w:pPr>
              <w:pStyle w:val="101"/>
            </w:pPr>
            <w:r>
              <w:rPr>
                <w:lang w:eastAsia="zh-CN"/>
              </w:rPr>
              <w:t>0..1</w:t>
            </w:r>
          </w:p>
        </w:tc>
        <w:tc>
          <w:tcPr>
            <w:tcW w:w="3329" w:type="dxa"/>
            <w:gridSpan w:val="2"/>
            <w:noWrap w:val="0"/>
            <w:vAlign w:val="top"/>
          </w:tcPr>
          <w:p>
            <w:pPr>
              <w:pStyle w:val="102"/>
              <w:rPr>
                <w:rFonts w:cs="Arial"/>
                <w:szCs w:val="18"/>
              </w:rPr>
            </w:pPr>
            <w:r>
              <w:t>Transports TSCAI input parameters for TSC traffic</w:t>
            </w:r>
            <w:r>
              <w:rPr>
                <w:rFonts w:cs="Arial"/>
                <w:szCs w:val="18"/>
              </w:rPr>
              <w:t xml:space="preserve"> at the ingress of the NW-TT (downlink flow direction)</w:t>
            </w:r>
            <w:r>
              <w:t>.</w:t>
            </w:r>
          </w:p>
        </w:tc>
        <w:tc>
          <w:tcPr>
            <w:tcW w:w="1350" w:type="dxa"/>
            <w:gridSpan w:val="2"/>
            <w:noWrap w:val="0"/>
            <w:vAlign w:val="top"/>
          </w:tcPr>
          <w:p>
            <w:pPr>
              <w:pStyle w:val="102"/>
              <w:rPr>
                <w:rFonts w:cs="Arial"/>
                <w:szCs w:val="18"/>
              </w:rPr>
            </w:pPr>
            <w: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1609" w:type="dxa"/>
            <w:gridSpan w:val="2"/>
            <w:noWrap w:val="0"/>
            <w:vAlign w:val="top"/>
          </w:tcPr>
          <w:p>
            <w:pPr>
              <w:pStyle w:val="102"/>
            </w:pPr>
            <w:r>
              <w:t>tscaiTimeDom</w:t>
            </w:r>
          </w:p>
        </w:tc>
        <w:tc>
          <w:tcPr>
            <w:tcW w:w="1800" w:type="dxa"/>
            <w:gridSpan w:val="2"/>
            <w:noWrap w:val="0"/>
            <w:vAlign w:val="top"/>
          </w:tcPr>
          <w:p>
            <w:pPr>
              <w:pStyle w:val="102"/>
            </w:pPr>
            <w:r>
              <w:rPr>
                <w:rFonts w:hint="eastAsia"/>
                <w:lang w:eastAsia="zh-CN"/>
              </w:rPr>
              <w:t>U</w:t>
            </w:r>
            <w:r>
              <w:rPr>
                <w:lang w:eastAsia="zh-CN"/>
              </w:rPr>
              <w:t>integer</w:t>
            </w:r>
          </w:p>
        </w:tc>
        <w:tc>
          <w:tcPr>
            <w:tcW w:w="361" w:type="dxa"/>
            <w:gridSpan w:val="2"/>
            <w:noWrap w:val="0"/>
            <w:vAlign w:val="top"/>
          </w:tcPr>
          <w:p>
            <w:pPr>
              <w:pStyle w:val="101"/>
            </w:pPr>
            <w:r>
              <w:rPr>
                <w:rFonts w:hint="eastAsia"/>
                <w:lang w:eastAsia="zh-CN"/>
              </w:rPr>
              <w:t>O</w:t>
            </w:r>
          </w:p>
        </w:tc>
        <w:tc>
          <w:tcPr>
            <w:tcW w:w="1170" w:type="dxa"/>
            <w:gridSpan w:val="2"/>
            <w:noWrap w:val="0"/>
            <w:vAlign w:val="top"/>
          </w:tcPr>
          <w:p>
            <w:pPr>
              <w:pStyle w:val="101"/>
              <w:rPr>
                <w:lang w:eastAsia="zh-CN"/>
              </w:rPr>
            </w:pPr>
            <w:r>
              <w:rPr>
                <w:rFonts w:hint="eastAsia"/>
                <w:lang w:eastAsia="zh-CN"/>
              </w:rPr>
              <w:t>0</w:t>
            </w:r>
            <w:r>
              <w:rPr>
                <w:lang w:eastAsia="zh-CN"/>
              </w:rPr>
              <w:t>..1</w:t>
            </w:r>
          </w:p>
        </w:tc>
        <w:tc>
          <w:tcPr>
            <w:tcW w:w="3329" w:type="dxa"/>
            <w:gridSpan w:val="2"/>
            <w:noWrap w:val="0"/>
            <w:vAlign w:val="top"/>
          </w:tcPr>
          <w:p>
            <w:pPr>
              <w:pStyle w:val="102"/>
            </w:pPr>
            <w:r>
              <w:rPr>
                <w:lang w:eastAsia="zh-CN"/>
              </w:rPr>
              <w:t>Indicates the (g)PTP domain that the (TSN)AF is located in.</w:t>
            </w:r>
          </w:p>
        </w:tc>
        <w:tc>
          <w:tcPr>
            <w:tcW w:w="1350" w:type="dxa"/>
            <w:gridSpan w:val="2"/>
            <w:noWrap w:val="0"/>
            <w:vAlign w:val="top"/>
          </w:tcPr>
          <w:p>
            <w:pPr>
              <w:pStyle w:val="102"/>
            </w:pPr>
            <w:r>
              <w:rPr>
                <w:lang w:eastAsia="zh-CN"/>
              </w:rPr>
              <w:t>TimeSensitive</w:t>
            </w:r>
            <w:r>
              <w:t>Communication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Before w:val="1"/>
          <w:wBefore w:w="36" w:type="dxa"/>
          <w:cantSplit/>
          <w:jc w:val="center"/>
        </w:trPr>
        <w:tc>
          <w:tcPr>
            <w:tcW w:w="1609" w:type="dxa"/>
            <w:gridSpan w:val="2"/>
            <w:noWrap w:val="0"/>
            <w:vAlign w:val="top"/>
          </w:tcPr>
          <w:p>
            <w:pPr>
              <w:pStyle w:val="102"/>
            </w:pPr>
            <w:r>
              <w:t>capBatAdaptation</w:t>
            </w:r>
          </w:p>
        </w:tc>
        <w:tc>
          <w:tcPr>
            <w:tcW w:w="1800" w:type="dxa"/>
            <w:gridSpan w:val="2"/>
            <w:noWrap w:val="0"/>
            <w:vAlign w:val="top"/>
          </w:tcPr>
          <w:p>
            <w:pPr>
              <w:pStyle w:val="102"/>
              <w:rPr>
                <w:lang w:eastAsia="zh-CN"/>
              </w:rPr>
            </w:pPr>
            <w:r>
              <w:rPr>
                <w:lang w:eastAsia="zh-CN"/>
              </w:rPr>
              <w:t>boolean</w:t>
            </w:r>
          </w:p>
        </w:tc>
        <w:tc>
          <w:tcPr>
            <w:tcW w:w="361" w:type="dxa"/>
            <w:gridSpan w:val="2"/>
            <w:noWrap w:val="0"/>
            <w:vAlign w:val="top"/>
          </w:tcPr>
          <w:p>
            <w:pPr>
              <w:pStyle w:val="101"/>
              <w:rPr>
                <w:lang w:eastAsia="zh-CN"/>
              </w:rPr>
            </w:pPr>
            <w:r>
              <w:rPr>
                <w:lang w:eastAsia="zh-CN"/>
              </w:rPr>
              <w:t>O</w:t>
            </w:r>
          </w:p>
        </w:tc>
        <w:tc>
          <w:tcPr>
            <w:tcW w:w="1170" w:type="dxa"/>
            <w:gridSpan w:val="2"/>
            <w:noWrap w:val="0"/>
            <w:vAlign w:val="top"/>
          </w:tcPr>
          <w:p>
            <w:pPr>
              <w:pStyle w:val="101"/>
              <w:rPr>
                <w:lang w:eastAsia="zh-CN"/>
              </w:rPr>
            </w:pPr>
            <w:r>
              <w:rPr>
                <w:lang w:eastAsia="zh-CN"/>
              </w:rPr>
              <w:t>0..1</w:t>
            </w:r>
          </w:p>
        </w:tc>
        <w:tc>
          <w:tcPr>
            <w:tcW w:w="3329" w:type="dxa"/>
            <w:gridSpan w:val="2"/>
            <w:noWrap w:val="0"/>
            <w:vAlign w:val="top"/>
          </w:tcPr>
          <w:p>
            <w:pPr>
              <w:pStyle w:val="102"/>
            </w:pPr>
            <w:r>
              <w:t>Indicates the capability for AF to adjust the burst sending time, when it is supported and set to "true".</w:t>
            </w:r>
          </w:p>
          <w:p>
            <w:pPr>
              <w:pStyle w:val="102"/>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pPr>
              <w:pStyle w:val="102"/>
            </w:pPr>
            <w:r>
              <w:t>(NOTE 2)</w:t>
            </w:r>
          </w:p>
        </w:tc>
        <w:tc>
          <w:tcPr>
            <w:tcW w:w="1350" w:type="dxa"/>
            <w:gridSpan w:val="2"/>
            <w:noWrap w:val="0"/>
            <w:vAlign w:val="top"/>
          </w:tcPr>
          <w:p>
            <w:pPr>
              <w:pStyle w:val="102"/>
              <w:rPr>
                <w:lang w:val="en-US"/>
              </w:rPr>
            </w:pPr>
            <w:r>
              <w:rPr>
                <w:lang w:val="en-US"/>
              </w:rPr>
              <w:t>EnTSCAC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Before w:val="1"/>
          <w:wBefore w:w="36" w:type="dxa"/>
          <w:cantSplit/>
          <w:jc w:val="center"/>
        </w:trPr>
        <w:tc>
          <w:tcPr>
            <w:tcW w:w="1609" w:type="dxa"/>
            <w:gridSpan w:val="2"/>
            <w:noWrap w:val="0"/>
            <w:vAlign w:val="top"/>
          </w:tcPr>
          <w:p>
            <w:pPr>
              <w:pStyle w:val="102"/>
            </w:pPr>
            <w:r>
              <w:rPr>
                <w:rFonts w:hint="eastAsia"/>
                <w:lang w:eastAsia="zh-CN"/>
              </w:rPr>
              <w:t>r</w:t>
            </w:r>
            <w:r>
              <w:rPr>
                <w:lang w:eastAsia="zh-CN"/>
              </w:rPr>
              <w:t>TLatencyInd</w:t>
            </w:r>
          </w:p>
        </w:tc>
        <w:tc>
          <w:tcPr>
            <w:tcW w:w="1800" w:type="dxa"/>
            <w:gridSpan w:val="2"/>
            <w:noWrap w:val="0"/>
            <w:vAlign w:val="top"/>
          </w:tcPr>
          <w:p>
            <w:pPr>
              <w:pStyle w:val="102"/>
              <w:rPr>
                <w:lang w:eastAsia="zh-CN"/>
              </w:rPr>
            </w:pPr>
            <w:r>
              <w:rPr>
                <w:lang w:eastAsia="zh-CN"/>
              </w:rPr>
              <w:t>boolean</w:t>
            </w:r>
          </w:p>
        </w:tc>
        <w:tc>
          <w:tcPr>
            <w:tcW w:w="361" w:type="dxa"/>
            <w:gridSpan w:val="2"/>
            <w:noWrap w:val="0"/>
            <w:vAlign w:val="top"/>
          </w:tcPr>
          <w:p>
            <w:pPr>
              <w:pStyle w:val="101"/>
              <w:rPr>
                <w:lang w:eastAsia="zh-CN"/>
              </w:rPr>
            </w:pPr>
            <w:r>
              <w:rPr>
                <w:lang w:eastAsia="zh-CN"/>
              </w:rPr>
              <w:t>O</w:t>
            </w:r>
          </w:p>
        </w:tc>
        <w:tc>
          <w:tcPr>
            <w:tcW w:w="1170" w:type="dxa"/>
            <w:gridSpan w:val="2"/>
            <w:noWrap w:val="0"/>
            <w:vAlign w:val="top"/>
          </w:tcPr>
          <w:p>
            <w:pPr>
              <w:pStyle w:val="101"/>
              <w:rPr>
                <w:lang w:eastAsia="zh-CN"/>
              </w:rPr>
            </w:pPr>
            <w:r>
              <w:rPr>
                <w:lang w:eastAsia="zh-CN"/>
              </w:rPr>
              <w:t>0..1</w:t>
            </w:r>
          </w:p>
        </w:tc>
        <w:tc>
          <w:tcPr>
            <w:tcW w:w="3329" w:type="dxa"/>
            <w:gridSpan w:val="2"/>
            <w:noWrap w:val="0"/>
            <w:vAlign w:val="top"/>
          </w:tcPr>
          <w:p>
            <w:pPr>
              <w:pStyle w:val="102"/>
            </w:pPr>
            <w:r>
              <w:t>Indicates the service data flow needs to meet the Round-Trip (RT) latency requirement of the service, when it is included and set to "true".</w:t>
            </w:r>
          </w:p>
          <w:p>
            <w:pPr>
              <w:pStyle w:val="102"/>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tc>
        <w:tc>
          <w:tcPr>
            <w:tcW w:w="1350" w:type="dxa"/>
            <w:gridSpan w:val="2"/>
            <w:noWrap w:val="0"/>
            <w:vAlign w:val="top"/>
          </w:tcPr>
          <w:p>
            <w:pPr>
              <w:pStyle w:val="102"/>
              <w:rPr>
                <w:lang w:val="en-US"/>
              </w:rPr>
            </w:pPr>
            <w:r>
              <w:rPr>
                <w:rFonts w:hint="eastAsia" w:cs="Arial"/>
                <w:lang w:eastAsia="zh-CN"/>
              </w:rPr>
              <w:t>R</w:t>
            </w:r>
            <w:r>
              <w:rPr>
                <w:rFonts w:cs="Arial"/>
                <w:lang w:eastAsia="zh-CN"/>
              </w:rPr>
              <w:t>TLatency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Before w:val="1"/>
          <w:wBefore w:w="36" w:type="dxa"/>
          <w:cantSplit/>
          <w:jc w:val="center"/>
        </w:trPr>
        <w:tc>
          <w:tcPr>
            <w:tcW w:w="1609" w:type="dxa"/>
            <w:gridSpan w:val="2"/>
            <w:noWrap w:val="0"/>
            <w:vAlign w:val="top"/>
          </w:tcPr>
          <w:p>
            <w:pPr>
              <w:pStyle w:val="102"/>
              <w:rPr>
                <w:rFonts w:hint="eastAsia"/>
                <w:lang w:eastAsia="zh-CN"/>
              </w:rPr>
            </w:pPr>
            <w:r>
              <w:rPr>
                <w:rFonts w:hint="eastAsia"/>
                <w:lang w:val="en-US" w:eastAsia="zh-CN"/>
              </w:rPr>
              <w:t>pduSet</w:t>
            </w:r>
            <w:r>
              <w:t>Qo</w:t>
            </w:r>
            <w:r>
              <w:rPr>
                <w:rFonts w:hint="eastAsia"/>
                <w:lang w:val="en-US" w:eastAsia="zh-CN"/>
              </w:rPr>
              <w:t>s</w:t>
            </w:r>
            <w:r>
              <w:rPr>
                <w:lang w:val="en-US" w:eastAsia="zh-CN"/>
              </w:rPr>
              <w:t>Dl</w:t>
            </w:r>
          </w:p>
        </w:tc>
        <w:tc>
          <w:tcPr>
            <w:tcW w:w="1800" w:type="dxa"/>
            <w:gridSpan w:val="2"/>
            <w:noWrap w:val="0"/>
            <w:vAlign w:val="top"/>
          </w:tcPr>
          <w:p>
            <w:pPr>
              <w:pStyle w:val="102"/>
              <w:rPr>
                <w:rFonts w:hint="eastAsia"/>
                <w:lang w:eastAsia="zh-CN"/>
              </w:rPr>
            </w:pPr>
            <w:r>
              <w:rPr>
                <w:rFonts w:hint="eastAsia"/>
                <w:lang w:eastAsia="zh-CN"/>
              </w:rPr>
              <w:t>P</w:t>
            </w:r>
            <w:r>
              <w:rPr>
                <w:lang w:eastAsia="zh-CN"/>
              </w:rPr>
              <w:t>duSetQosParaRm</w:t>
            </w:r>
          </w:p>
        </w:tc>
        <w:tc>
          <w:tcPr>
            <w:tcW w:w="361" w:type="dxa"/>
            <w:gridSpan w:val="2"/>
            <w:noWrap w:val="0"/>
            <w:vAlign w:val="top"/>
          </w:tcPr>
          <w:p>
            <w:pPr>
              <w:pStyle w:val="101"/>
              <w:rPr>
                <w:lang w:eastAsia="zh-CN"/>
              </w:rPr>
            </w:pPr>
            <w:r>
              <w:t>O</w:t>
            </w:r>
          </w:p>
        </w:tc>
        <w:tc>
          <w:tcPr>
            <w:tcW w:w="1170" w:type="dxa"/>
            <w:gridSpan w:val="2"/>
            <w:noWrap w:val="0"/>
            <w:vAlign w:val="top"/>
          </w:tcPr>
          <w:p>
            <w:pPr>
              <w:pStyle w:val="101"/>
              <w:rPr>
                <w:lang w:eastAsia="zh-CN"/>
              </w:rPr>
            </w:pPr>
            <w:r>
              <w:rPr>
                <w:lang w:eastAsia="zh-CN"/>
              </w:rPr>
              <w:t>0..1</w:t>
            </w:r>
          </w:p>
        </w:tc>
        <w:tc>
          <w:tcPr>
            <w:tcW w:w="3329" w:type="dxa"/>
            <w:gridSpan w:val="2"/>
            <w:noWrap w:val="0"/>
            <w:vAlign w:val="top"/>
          </w:tcPr>
          <w:p>
            <w:pPr>
              <w:pStyle w:val="102"/>
              <w:rPr>
                <w:lang w:eastAsia="zh-CN"/>
              </w:rPr>
            </w:pPr>
            <w:r>
              <w:t>PDU Set QoS parameter(s) for the downlink direction.</w:t>
            </w:r>
          </w:p>
        </w:tc>
        <w:tc>
          <w:tcPr>
            <w:tcW w:w="1350" w:type="dxa"/>
            <w:gridSpan w:val="2"/>
            <w:noWrap w:val="0"/>
            <w:vAlign w:val="top"/>
          </w:tcPr>
          <w:p>
            <w:pPr>
              <w:pStyle w:val="102"/>
            </w:pPr>
            <w:r>
              <w:rPr>
                <w:rFonts w:cs="Arial"/>
              </w:rPr>
              <w:t>PDUSetHandling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Before w:val="1"/>
          <w:wBefore w:w="36" w:type="dxa"/>
          <w:cantSplit/>
          <w:jc w:val="center"/>
        </w:trPr>
        <w:tc>
          <w:tcPr>
            <w:tcW w:w="1609" w:type="dxa"/>
            <w:gridSpan w:val="2"/>
            <w:noWrap w:val="0"/>
            <w:vAlign w:val="top"/>
          </w:tcPr>
          <w:p>
            <w:pPr>
              <w:pStyle w:val="102"/>
              <w:rPr>
                <w:rFonts w:hint="eastAsia"/>
                <w:lang w:val="en-US" w:eastAsia="zh-CN"/>
              </w:rPr>
            </w:pPr>
            <w:r>
              <w:rPr>
                <w:lang w:val="en-US" w:eastAsia="zh-CN"/>
              </w:rPr>
              <w:t>p</w:t>
            </w:r>
            <w:r>
              <w:rPr>
                <w:rFonts w:hint="eastAsia"/>
                <w:lang w:val="en-US" w:eastAsia="zh-CN"/>
              </w:rPr>
              <w:t>duSet</w:t>
            </w:r>
            <w:r>
              <w:t>Qo</w:t>
            </w:r>
            <w:r>
              <w:rPr>
                <w:rFonts w:hint="eastAsia"/>
                <w:lang w:val="en-US" w:eastAsia="zh-CN"/>
              </w:rPr>
              <w:t>s</w:t>
            </w:r>
            <w:r>
              <w:rPr>
                <w:lang w:val="en-US" w:eastAsia="zh-CN"/>
              </w:rPr>
              <w:t>Ul</w:t>
            </w:r>
          </w:p>
        </w:tc>
        <w:tc>
          <w:tcPr>
            <w:tcW w:w="1800" w:type="dxa"/>
            <w:gridSpan w:val="2"/>
            <w:noWrap w:val="0"/>
            <w:vAlign w:val="top"/>
          </w:tcPr>
          <w:p>
            <w:pPr>
              <w:pStyle w:val="102"/>
              <w:rPr>
                <w:rFonts w:hint="eastAsia"/>
                <w:lang w:eastAsia="zh-CN"/>
              </w:rPr>
            </w:pPr>
            <w:r>
              <w:rPr>
                <w:rFonts w:hint="eastAsia"/>
                <w:lang w:eastAsia="zh-CN"/>
              </w:rPr>
              <w:t>P</w:t>
            </w:r>
            <w:r>
              <w:rPr>
                <w:lang w:eastAsia="zh-CN"/>
              </w:rPr>
              <w:t>duSetQosParaRm</w:t>
            </w:r>
          </w:p>
        </w:tc>
        <w:tc>
          <w:tcPr>
            <w:tcW w:w="361" w:type="dxa"/>
            <w:gridSpan w:val="2"/>
            <w:noWrap w:val="0"/>
            <w:vAlign w:val="top"/>
          </w:tcPr>
          <w:p>
            <w:pPr>
              <w:pStyle w:val="101"/>
            </w:pPr>
            <w:r>
              <w:t>O</w:t>
            </w:r>
          </w:p>
        </w:tc>
        <w:tc>
          <w:tcPr>
            <w:tcW w:w="1170" w:type="dxa"/>
            <w:gridSpan w:val="2"/>
            <w:noWrap w:val="0"/>
            <w:vAlign w:val="top"/>
          </w:tcPr>
          <w:p>
            <w:pPr>
              <w:pStyle w:val="101"/>
              <w:rPr>
                <w:lang w:eastAsia="zh-CN"/>
              </w:rPr>
            </w:pPr>
            <w:r>
              <w:rPr>
                <w:lang w:eastAsia="zh-CN"/>
              </w:rPr>
              <w:t>0..1</w:t>
            </w:r>
          </w:p>
        </w:tc>
        <w:tc>
          <w:tcPr>
            <w:tcW w:w="3329" w:type="dxa"/>
            <w:gridSpan w:val="2"/>
            <w:noWrap w:val="0"/>
            <w:vAlign w:val="top"/>
          </w:tcPr>
          <w:p>
            <w:pPr>
              <w:pStyle w:val="102"/>
            </w:pPr>
            <w:r>
              <w:t>PDU Set QoS parameter(s) for the uplink direction.</w:t>
            </w:r>
          </w:p>
        </w:tc>
        <w:tc>
          <w:tcPr>
            <w:tcW w:w="1350" w:type="dxa"/>
            <w:gridSpan w:val="2"/>
            <w:noWrap w:val="0"/>
            <w:vAlign w:val="top"/>
          </w:tcPr>
          <w:p>
            <w:pPr>
              <w:pStyle w:val="102"/>
              <w:rPr>
                <w:rFonts w:cs="Arial"/>
              </w:rPr>
            </w:pPr>
            <w:r>
              <w:rPr>
                <w:rFonts w:cs="Arial"/>
              </w:rPr>
              <w:t>PDUSetHandling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Before w:val="1"/>
          <w:wBefore w:w="36" w:type="dxa"/>
          <w:cantSplit/>
          <w:jc w:val="center"/>
        </w:trPr>
        <w:tc>
          <w:tcPr>
            <w:tcW w:w="1609" w:type="dxa"/>
            <w:gridSpan w:val="2"/>
            <w:noWrap w:val="0"/>
            <w:vAlign w:val="top"/>
          </w:tcPr>
          <w:p>
            <w:pPr>
              <w:pStyle w:val="102"/>
              <w:rPr>
                <w:rFonts w:hint="eastAsia"/>
                <w:lang w:val="en-US" w:eastAsia="zh-CN"/>
              </w:rPr>
            </w:pPr>
            <w:r>
              <w:t>protoDescDl</w:t>
            </w:r>
          </w:p>
        </w:tc>
        <w:tc>
          <w:tcPr>
            <w:tcW w:w="1800" w:type="dxa"/>
            <w:gridSpan w:val="2"/>
            <w:noWrap w:val="0"/>
            <w:vAlign w:val="top"/>
          </w:tcPr>
          <w:p>
            <w:pPr>
              <w:pStyle w:val="102"/>
              <w:rPr>
                <w:rFonts w:hint="eastAsia"/>
                <w:lang w:eastAsia="zh-CN"/>
              </w:rPr>
            </w:pPr>
            <w:r>
              <w:t>ProtocolDescription</w:t>
            </w:r>
          </w:p>
        </w:tc>
        <w:tc>
          <w:tcPr>
            <w:tcW w:w="361" w:type="dxa"/>
            <w:gridSpan w:val="2"/>
            <w:noWrap w:val="0"/>
            <w:vAlign w:val="top"/>
          </w:tcPr>
          <w:p>
            <w:pPr>
              <w:pStyle w:val="101"/>
            </w:pPr>
            <w:r>
              <w:rPr>
                <w:lang w:eastAsia="zh-CN"/>
              </w:rPr>
              <w:t>O</w:t>
            </w:r>
          </w:p>
        </w:tc>
        <w:tc>
          <w:tcPr>
            <w:tcW w:w="1170" w:type="dxa"/>
            <w:gridSpan w:val="2"/>
            <w:noWrap w:val="0"/>
            <w:vAlign w:val="top"/>
          </w:tcPr>
          <w:p>
            <w:pPr>
              <w:pStyle w:val="101"/>
              <w:rPr>
                <w:lang w:eastAsia="zh-CN"/>
              </w:rPr>
            </w:pPr>
            <w:r>
              <w:t>0..1</w:t>
            </w:r>
          </w:p>
        </w:tc>
        <w:tc>
          <w:tcPr>
            <w:tcW w:w="3329" w:type="dxa"/>
            <w:gridSpan w:val="2"/>
            <w:noWrap w:val="0"/>
            <w:vAlign w:val="top"/>
          </w:tcPr>
          <w:p>
            <w:pPr>
              <w:pStyle w:val="102"/>
            </w:pPr>
            <w:r>
              <w:t>Downlink Protocol description for PDU Set identification and/or dectection of the end of data burst in UPF</w:t>
            </w:r>
          </w:p>
        </w:tc>
        <w:tc>
          <w:tcPr>
            <w:tcW w:w="1350" w:type="dxa"/>
            <w:gridSpan w:val="2"/>
            <w:noWrap w:val="0"/>
            <w:vAlign w:val="top"/>
          </w:tcPr>
          <w:p>
            <w:pPr>
              <w:pStyle w:val="102"/>
              <w:rPr>
                <w:rFonts w:hint="eastAsia" w:cs="Arial"/>
                <w:szCs w:val="18"/>
                <w:lang w:val="en-US" w:eastAsia="zh-CN"/>
              </w:rPr>
            </w:pPr>
            <w:r>
              <w:rPr>
                <w:rFonts w:cs="Arial"/>
              </w:rPr>
              <w:t>PDUSetHandling</w:t>
            </w:r>
            <w:r>
              <w:rPr>
                <w:rFonts w:cs="Arial"/>
              </w:rPr>
              <w:br w:type="textWrapping"/>
            </w:r>
            <w:r>
              <w:rPr>
                <w:rFonts w:cs="Arial"/>
              </w:rPr>
              <w:t>PowerSaving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Before w:val="1"/>
          <w:wBefore w:w="36" w:type="dxa"/>
          <w:cantSplit/>
          <w:jc w:val="center"/>
        </w:trPr>
        <w:tc>
          <w:tcPr>
            <w:tcW w:w="1609" w:type="dxa"/>
            <w:gridSpan w:val="2"/>
            <w:noWrap w:val="0"/>
            <w:vAlign w:val="top"/>
          </w:tcPr>
          <w:p>
            <w:pPr>
              <w:pStyle w:val="102"/>
            </w:pPr>
            <w:r>
              <w:t>protoDescUl</w:t>
            </w:r>
          </w:p>
        </w:tc>
        <w:tc>
          <w:tcPr>
            <w:tcW w:w="1800" w:type="dxa"/>
            <w:gridSpan w:val="2"/>
            <w:noWrap w:val="0"/>
            <w:vAlign w:val="top"/>
          </w:tcPr>
          <w:p>
            <w:pPr>
              <w:pStyle w:val="102"/>
            </w:pPr>
            <w:r>
              <w:t>ProtocolDescription</w:t>
            </w:r>
          </w:p>
        </w:tc>
        <w:tc>
          <w:tcPr>
            <w:tcW w:w="361" w:type="dxa"/>
            <w:gridSpan w:val="2"/>
            <w:noWrap w:val="0"/>
            <w:vAlign w:val="top"/>
          </w:tcPr>
          <w:p>
            <w:pPr>
              <w:pStyle w:val="101"/>
              <w:rPr>
                <w:lang w:eastAsia="zh-CN"/>
              </w:rPr>
            </w:pPr>
            <w:r>
              <w:rPr>
                <w:lang w:eastAsia="zh-CN"/>
              </w:rPr>
              <w:t>O</w:t>
            </w:r>
          </w:p>
        </w:tc>
        <w:tc>
          <w:tcPr>
            <w:tcW w:w="1170" w:type="dxa"/>
            <w:gridSpan w:val="2"/>
            <w:noWrap w:val="0"/>
            <w:vAlign w:val="top"/>
          </w:tcPr>
          <w:p>
            <w:pPr>
              <w:pStyle w:val="101"/>
            </w:pPr>
            <w:r>
              <w:rPr>
                <w:lang w:eastAsia="zh-CN"/>
              </w:rPr>
              <w:t>0..1</w:t>
            </w:r>
          </w:p>
        </w:tc>
        <w:tc>
          <w:tcPr>
            <w:tcW w:w="3329" w:type="dxa"/>
            <w:gridSpan w:val="2"/>
            <w:noWrap w:val="0"/>
            <w:vAlign w:val="top"/>
          </w:tcPr>
          <w:p>
            <w:pPr>
              <w:pStyle w:val="102"/>
            </w:pPr>
            <w:r>
              <w:t xml:space="preserve">Uplink Protocol description for PDU Set identification in UE. </w:t>
            </w:r>
          </w:p>
        </w:tc>
        <w:tc>
          <w:tcPr>
            <w:tcW w:w="1350" w:type="dxa"/>
            <w:gridSpan w:val="2"/>
            <w:noWrap w:val="0"/>
            <w:vAlign w:val="top"/>
          </w:tcPr>
          <w:p>
            <w:pPr>
              <w:pStyle w:val="102"/>
              <w:rPr>
                <w:rFonts w:cs="Arial"/>
              </w:rPr>
            </w:pPr>
            <w:r>
              <w:rPr>
                <w:rFonts w:cs="Arial"/>
              </w:rPr>
              <w:t>PDUSetHandling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Before w:val="1"/>
          <w:wBefore w:w="36" w:type="dxa"/>
          <w:cantSplit/>
          <w:jc w:val="center"/>
        </w:trPr>
        <w:tc>
          <w:tcPr>
            <w:tcW w:w="1609" w:type="dxa"/>
            <w:gridSpan w:val="2"/>
            <w:noWrap w:val="0"/>
            <w:vAlign w:val="top"/>
          </w:tcPr>
          <w:p>
            <w:pPr>
              <w:pStyle w:val="102"/>
              <w:rPr>
                <w:lang w:eastAsia="zh-CN"/>
              </w:rPr>
            </w:pPr>
            <w:r>
              <w:t>periodUl</w:t>
            </w:r>
          </w:p>
        </w:tc>
        <w:tc>
          <w:tcPr>
            <w:tcW w:w="1800" w:type="dxa"/>
            <w:gridSpan w:val="2"/>
            <w:noWrap w:val="0"/>
            <w:vAlign w:val="top"/>
          </w:tcPr>
          <w:p>
            <w:pPr>
              <w:pStyle w:val="102"/>
              <w:rPr>
                <w:lang w:eastAsia="zh-CN"/>
              </w:rPr>
            </w:pPr>
            <w:r>
              <w:rPr>
                <w:lang w:eastAsia="zh-CN"/>
              </w:rPr>
              <w:t>DurationMilliSecRm</w:t>
            </w:r>
          </w:p>
        </w:tc>
        <w:tc>
          <w:tcPr>
            <w:tcW w:w="361" w:type="dxa"/>
            <w:gridSpan w:val="2"/>
            <w:noWrap w:val="0"/>
            <w:vAlign w:val="top"/>
          </w:tcPr>
          <w:p>
            <w:pPr>
              <w:pStyle w:val="101"/>
              <w:rPr>
                <w:lang w:eastAsia="zh-CN"/>
              </w:rPr>
            </w:pPr>
            <w:r>
              <w:t>O</w:t>
            </w:r>
          </w:p>
        </w:tc>
        <w:tc>
          <w:tcPr>
            <w:tcW w:w="1170" w:type="dxa"/>
            <w:gridSpan w:val="2"/>
            <w:noWrap w:val="0"/>
            <w:vAlign w:val="top"/>
          </w:tcPr>
          <w:p>
            <w:pPr>
              <w:pStyle w:val="101"/>
              <w:rPr>
                <w:lang w:eastAsia="zh-CN"/>
              </w:rPr>
            </w:pPr>
            <w:r>
              <w:t>0..1</w:t>
            </w:r>
          </w:p>
        </w:tc>
        <w:tc>
          <w:tcPr>
            <w:tcW w:w="3329" w:type="dxa"/>
            <w:gridSpan w:val="2"/>
            <w:noWrap w:val="0"/>
            <w:vAlign w:val="top"/>
          </w:tcPr>
          <w:p>
            <w:pPr>
              <w:pStyle w:val="102"/>
            </w:pPr>
            <w:r>
              <w:rPr>
                <w:rFonts w:cs="Arial"/>
                <w:szCs w:val="18"/>
              </w:rPr>
              <w:t xml:space="preserve">Indicates the time period between the start of the two data bursts </w:t>
            </w:r>
            <w:r>
              <w:t>in units of milliseconds</w:t>
            </w:r>
            <w:r>
              <w:rPr>
                <w:rFonts w:cs="Arial"/>
                <w:szCs w:val="18"/>
              </w:rPr>
              <w:t xml:space="preserve"> in Uplink direction.</w:t>
            </w:r>
          </w:p>
        </w:tc>
        <w:tc>
          <w:tcPr>
            <w:tcW w:w="1350" w:type="dxa"/>
            <w:gridSpan w:val="2"/>
            <w:noWrap w:val="0"/>
            <w:vAlign w:val="top"/>
          </w:tcPr>
          <w:p>
            <w:pPr>
              <w:pStyle w:val="102"/>
            </w:pPr>
            <w:r>
              <w:t>PowerSaving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Before w:val="1"/>
          <w:wBefore w:w="36" w:type="dxa"/>
          <w:cantSplit/>
          <w:jc w:val="center"/>
        </w:trPr>
        <w:tc>
          <w:tcPr>
            <w:tcW w:w="1609" w:type="dxa"/>
            <w:gridSpan w:val="2"/>
            <w:noWrap w:val="0"/>
            <w:vAlign w:val="top"/>
          </w:tcPr>
          <w:p>
            <w:pPr>
              <w:pStyle w:val="102"/>
              <w:rPr>
                <w:lang w:eastAsia="zh-CN"/>
              </w:rPr>
            </w:pPr>
            <w:r>
              <w:t>periodDl</w:t>
            </w:r>
          </w:p>
        </w:tc>
        <w:tc>
          <w:tcPr>
            <w:tcW w:w="1800" w:type="dxa"/>
            <w:gridSpan w:val="2"/>
            <w:noWrap w:val="0"/>
            <w:vAlign w:val="top"/>
          </w:tcPr>
          <w:p>
            <w:pPr>
              <w:pStyle w:val="102"/>
              <w:rPr>
                <w:lang w:eastAsia="zh-CN"/>
              </w:rPr>
            </w:pPr>
            <w:r>
              <w:rPr>
                <w:lang w:eastAsia="zh-CN"/>
              </w:rPr>
              <w:t>DurationMilliSecRm</w:t>
            </w:r>
          </w:p>
        </w:tc>
        <w:tc>
          <w:tcPr>
            <w:tcW w:w="361" w:type="dxa"/>
            <w:gridSpan w:val="2"/>
            <w:noWrap w:val="0"/>
            <w:vAlign w:val="top"/>
          </w:tcPr>
          <w:p>
            <w:pPr>
              <w:pStyle w:val="101"/>
              <w:rPr>
                <w:lang w:eastAsia="zh-CN"/>
              </w:rPr>
            </w:pPr>
            <w:r>
              <w:t>O</w:t>
            </w:r>
          </w:p>
        </w:tc>
        <w:tc>
          <w:tcPr>
            <w:tcW w:w="1170" w:type="dxa"/>
            <w:gridSpan w:val="2"/>
            <w:noWrap w:val="0"/>
            <w:vAlign w:val="top"/>
          </w:tcPr>
          <w:p>
            <w:pPr>
              <w:pStyle w:val="101"/>
              <w:rPr>
                <w:lang w:eastAsia="zh-CN"/>
              </w:rPr>
            </w:pPr>
            <w:r>
              <w:t>0..1</w:t>
            </w:r>
          </w:p>
        </w:tc>
        <w:tc>
          <w:tcPr>
            <w:tcW w:w="3329" w:type="dxa"/>
            <w:gridSpan w:val="2"/>
            <w:noWrap w:val="0"/>
            <w:vAlign w:val="top"/>
          </w:tcPr>
          <w:p>
            <w:pPr>
              <w:pStyle w:val="102"/>
            </w:pPr>
            <w:r>
              <w:rPr>
                <w:rFonts w:cs="Arial"/>
                <w:szCs w:val="18"/>
              </w:rPr>
              <w:t xml:space="preserve">Indicates the time period between the start of the two data bursts </w:t>
            </w:r>
            <w:r>
              <w:t>in units of milliseconds</w:t>
            </w:r>
            <w:r>
              <w:rPr>
                <w:rFonts w:cs="Arial"/>
                <w:szCs w:val="18"/>
              </w:rPr>
              <w:t xml:space="preserve"> in Downlink direction.</w:t>
            </w:r>
          </w:p>
        </w:tc>
        <w:tc>
          <w:tcPr>
            <w:tcW w:w="1350" w:type="dxa"/>
            <w:gridSpan w:val="2"/>
            <w:noWrap w:val="0"/>
            <w:vAlign w:val="top"/>
          </w:tcPr>
          <w:p>
            <w:pPr>
              <w:pStyle w:val="102"/>
            </w:pPr>
            <w:r>
              <w:t>PowerSaving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Before w:val="1"/>
          <w:wBefore w:w="36" w:type="dxa"/>
          <w:cantSplit/>
          <w:jc w:val="center"/>
        </w:trPr>
        <w:tc>
          <w:tcPr>
            <w:tcW w:w="1609" w:type="dxa"/>
            <w:gridSpan w:val="2"/>
            <w:noWrap w:val="0"/>
            <w:vAlign w:val="top"/>
          </w:tcPr>
          <w:p>
            <w:pPr>
              <w:pStyle w:val="102"/>
              <w:rPr>
                <w:lang w:eastAsia="zh-CN"/>
              </w:rPr>
            </w:pPr>
            <w:r>
              <w:rPr>
                <w:lang w:eastAsia="zh-CN"/>
              </w:rPr>
              <w:t>l4sInd</w:t>
            </w:r>
          </w:p>
        </w:tc>
        <w:tc>
          <w:tcPr>
            <w:tcW w:w="1800" w:type="dxa"/>
            <w:gridSpan w:val="2"/>
            <w:noWrap w:val="0"/>
            <w:vAlign w:val="top"/>
          </w:tcPr>
          <w:p>
            <w:pPr>
              <w:pStyle w:val="102"/>
              <w:rPr>
                <w:lang w:eastAsia="zh-CN"/>
              </w:rPr>
            </w:pPr>
            <w:r>
              <w:t>UplinkDownlinkSupport</w:t>
            </w:r>
          </w:p>
        </w:tc>
        <w:tc>
          <w:tcPr>
            <w:tcW w:w="361" w:type="dxa"/>
            <w:gridSpan w:val="2"/>
            <w:noWrap w:val="0"/>
            <w:vAlign w:val="top"/>
          </w:tcPr>
          <w:p>
            <w:pPr>
              <w:pStyle w:val="101"/>
              <w:rPr>
                <w:lang w:eastAsia="zh-CN"/>
              </w:rPr>
            </w:pPr>
            <w:r>
              <w:rPr>
                <w:lang w:eastAsia="zh-CN"/>
              </w:rPr>
              <w:t>O</w:t>
            </w:r>
          </w:p>
        </w:tc>
        <w:tc>
          <w:tcPr>
            <w:tcW w:w="1170" w:type="dxa"/>
            <w:gridSpan w:val="2"/>
            <w:noWrap w:val="0"/>
            <w:vAlign w:val="top"/>
          </w:tcPr>
          <w:p>
            <w:pPr>
              <w:pStyle w:val="101"/>
              <w:rPr>
                <w:lang w:eastAsia="zh-CN"/>
              </w:rPr>
            </w:pPr>
            <w:r>
              <w:rPr>
                <w:lang w:eastAsia="zh-CN"/>
              </w:rPr>
              <w:t>0..1</w:t>
            </w:r>
          </w:p>
        </w:tc>
        <w:tc>
          <w:tcPr>
            <w:tcW w:w="3329" w:type="dxa"/>
            <w:gridSpan w:val="2"/>
            <w:noWrap w:val="0"/>
            <w:vAlign w:val="top"/>
          </w:tcPr>
          <w:p>
            <w:pPr>
              <w:pStyle w:val="102"/>
            </w:pPr>
            <w:r>
              <w:t>When provided, it represents an explicit indication of whether ECN marking for L4S support is supported for the UL, the DL or both, UL and DL.</w:t>
            </w:r>
          </w:p>
          <w:p>
            <w:pPr>
              <w:pStyle w:val="102"/>
            </w:pPr>
            <w:r>
              <w:t>It may be present when the media component is initially provided.</w:t>
            </w:r>
          </w:p>
          <w:p>
            <w:pPr>
              <w:pStyle w:val="102"/>
            </w:pPr>
            <w:r>
              <w:t>(NOTE 3)</w:t>
            </w:r>
          </w:p>
        </w:tc>
        <w:tc>
          <w:tcPr>
            <w:tcW w:w="1350" w:type="dxa"/>
            <w:gridSpan w:val="2"/>
            <w:noWrap w:val="0"/>
            <w:vAlign w:val="top"/>
          </w:tcPr>
          <w:p>
            <w:pPr>
              <w:pStyle w:val="102"/>
            </w:pPr>
            <w:r>
              <w:rPr>
                <w:lang w:val="en-US"/>
              </w:rPr>
              <w:t>L4S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gridAfter w:val="1"/>
          <w:wAfter w:w="36" w:type="dxa"/>
          <w:cantSplit/>
          <w:jc w:val="center"/>
        </w:trPr>
        <w:tc>
          <w:tcPr>
            <w:tcW w:w="9619" w:type="dxa"/>
            <w:gridSpan w:val="12"/>
            <w:noWrap w:val="0"/>
            <w:vAlign w:val="top"/>
          </w:tcPr>
          <w:p>
            <w:pPr>
              <w:pStyle w:val="115"/>
            </w:pPr>
            <w:r>
              <w:t>NOTE 1:</w:t>
            </w:r>
            <w:r>
              <w:tab/>
            </w:r>
            <w:r>
              <w:t>The attributes "altSerReqs" and "altSerReqsData" are mutually exclusive.</w:t>
            </w:r>
          </w:p>
          <w:p>
            <w:pPr>
              <w:pStyle w:val="115"/>
            </w:pPr>
            <w:r>
              <w:t>NOTE 2:</w:t>
            </w:r>
            <w:r>
              <w:tab/>
            </w:r>
            <w:r>
              <w:t>The "burstArrivalTimeWnd" attribute, within the "tscaiInputUl" and/or "tscaiInputDl" attributes, and the "capBatAdaptation" attribute are mutually exclusive.</w:t>
            </w:r>
          </w:p>
          <w:p>
            <w:pPr>
              <w:pStyle w:val="115"/>
              <w:rPr>
                <w:lang w:eastAsia="zh-CN"/>
              </w:rPr>
            </w:pPr>
            <w:r>
              <w:t>NOTE 3:</w:t>
            </w:r>
            <w:r>
              <w:tab/>
            </w:r>
            <w:r>
              <w:rPr>
                <w:lang w:val="en-US" w:eastAsia="zh-CN"/>
              </w:rPr>
              <w:t>Within a MediaComponentRm entry</w:t>
            </w:r>
            <w:r>
              <w:t>, the NF service consumer may include either the indication of L4S support within the "l4sInd" attribute</w:t>
            </w:r>
            <w:r>
              <w:rPr>
                <w:lang w:val="en-US" w:eastAsia="zh-CN"/>
              </w:rPr>
              <w:t xml:space="preserve"> or the request for congestion measurements within the </w:t>
            </w:r>
            <w:r>
              <w:t>"evSubsc" attribute included in one or more entries of the "medSubComps" attribute. A MediaComponent</w:t>
            </w:r>
            <w:r>
              <w:rPr>
                <w:lang w:val="en-US" w:eastAsia="zh-CN"/>
              </w:rPr>
              <w:t xml:space="preserve"> entry</w:t>
            </w:r>
            <w:r>
              <w:t xml:space="preserve"> within the </w:t>
            </w:r>
            <w:r>
              <w:rPr>
                <w:rFonts w:hint="eastAsia"/>
                <w:lang w:eastAsia="zh-CN"/>
              </w:rPr>
              <w:t>Ind</w:t>
            </w:r>
            <w:r>
              <w:rPr>
                <w:lang w:eastAsia="zh-CN"/>
              </w:rPr>
              <w:t>i</w:t>
            </w:r>
            <w:r>
              <w:rPr>
                <w:rFonts w:hint="eastAsia"/>
                <w:lang w:eastAsia="zh-CN"/>
              </w:rPr>
              <w:t xml:space="preserve">vidual </w:t>
            </w:r>
            <w:r>
              <w:rPr>
                <w:lang w:eastAsia="zh-CN"/>
              </w:rPr>
              <w:t>Application Session Context</w:t>
            </w:r>
            <w:r>
              <w:t xml:space="preserve"> resource shall not contain simultaneously both, the indication of L4S support and the subscription to congestion monitoring.</w:t>
            </w:r>
          </w:p>
        </w:tc>
      </w:tr>
    </w:tbl>
    <w:p/>
    <w:p>
      <w:pPr>
        <w:pBdr>
          <w:top w:val="single" w:color="auto" w:sz="4" w:space="1"/>
          <w:left w:val="single" w:color="auto" w:sz="4" w:space="4"/>
          <w:bottom w:val="single" w:color="auto" w:sz="4" w:space="1"/>
          <w:right w:val="single" w:color="auto" w:sz="4" w:space="4"/>
        </w:pBdr>
        <w:jc w:val="center"/>
        <w:outlineLvl w:val="0"/>
        <w:rPr>
          <w:color w:val="0000FF"/>
          <w:sz w:val="28"/>
          <w:szCs w:val="28"/>
        </w:rPr>
      </w:pPr>
      <w:r>
        <w:rPr>
          <w:color w:val="0000FF"/>
          <w:sz w:val="28"/>
          <w:szCs w:val="28"/>
        </w:rPr>
        <w:t xml:space="preserve">*** </w:t>
      </w:r>
      <w:r>
        <w:rPr>
          <w:color w:val="0000FF"/>
          <w:sz w:val="28"/>
          <w:szCs w:val="28"/>
          <w:lang w:eastAsia="zh-CN"/>
        </w:rPr>
        <w:t>End of</w:t>
      </w:r>
      <w:r>
        <w:rPr>
          <w:color w:val="0000FF"/>
          <w:sz w:val="28"/>
          <w:szCs w:val="28"/>
        </w:rPr>
        <w:t xml:space="preserve">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auto"/>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auto"/>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MS LineDraw">
    <w:altName w:val="Segoe Print"/>
    <w:panose1 w:val="00000000000000000000"/>
    <w:charset w:val="02"/>
    <w:family w:val="modern"/>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29F978E9"/>
    <w:multiLevelType w:val="multilevel"/>
    <w:tmpl w:val="29F978E9"/>
    <w:lvl w:ilvl="0" w:tentative="0">
      <w:start w:val="1"/>
      <w:numFmt w:val="bullet"/>
      <w:pStyle w:val="20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59CA694B"/>
    <w:multiLevelType w:val="multilevel"/>
    <w:tmpl w:val="59CA694B"/>
    <w:lvl w:ilvl="0" w:tentative="0">
      <w:start w:val="4"/>
      <w:numFmt w:val="bullet"/>
      <w:lvlText w:val="-"/>
      <w:lvlJc w:val="left"/>
      <w:pPr>
        <w:ind w:left="460" w:hanging="360"/>
      </w:pPr>
      <w:rPr>
        <w:rFonts w:hint="default" w:ascii="Arial" w:hAnsi="Arial" w:eastAsia="宋体" w:cs="Arial"/>
      </w:rPr>
    </w:lvl>
    <w:lvl w:ilvl="1" w:tentative="0">
      <w:start w:val="1"/>
      <w:numFmt w:val="bullet"/>
      <w:lvlText w:val=""/>
      <w:lvlJc w:val="left"/>
      <w:pPr>
        <w:ind w:left="940" w:hanging="420"/>
      </w:pPr>
      <w:rPr>
        <w:rFonts w:hint="default" w:ascii="Wingdings" w:hAnsi="Wingdings"/>
      </w:rPr>
    </w:lvl>
    <w:lvl w:ilvl="2" w:tentative="0">
      <w:start w:val="1"/>
      <w:numFmt w:val="bullet"/>
      <w:lvlText w:val=""/>
      <w:lvlJc w:val="left"/>
      <w:pPr>
        <w:ind w:left="1360" w:hanging="420"/>
      </w:pPr>
      <w:rPr>
        <w:rFonts w:hint="default" w:ascii="Wingdings" w:hAnsi="Wingdings"/>
      </w:rPr>
    </w:lvl>
    <w:lvl w:ilvl="3" w:tentative="0">
      <w:start w:val="1"/>
      <w:numFmt w:val="bullet"/>
      <w:lvlText w:val=""/>
      <w:lvlJc w:val="left"/>
      <w:pPr>
        <w:ind w:left="1780" w:hanging="420"/>
      </w:pPr>
      <w:rPr>
        <w:rFonts w:hint="default" w:ascii="Wingdings" w:hAnsi="Wingdings"/>
      </w:rPr>
    </w:lvl>
    <w:lvl w:ilvl="4" w:tentative="0">
      <w:start w:val="1"/>
      <w:numFmt w:val="bullet"/>
      <w:lvlText w:val=""/>
      <w:lvlJc w:val="left"/>
      <w:pPr>
        <w:ind w:left="2200" w:hanging="420"/>
      </w:pPr>
      <w:rPr>
        <w:rFonts w:hint="default" w:ascii="Wingdings" w:hAnsi="Wingdings"/>
      </w:rPr>
    </w:lvl>
    <w:lvl w:ilvl="5" w:tentative="0">
      <w:start w:val="1"/>
      <w:numFmt w:val="bullet"/>
      <w:lvlText w:val=""/>
      <w:lvlJc w:val="left"/>
      <w:pPr>
        <w:ind w:left="2620" w:hanging="420"/>
      </w:pPr>
      <w:rPr>
        <w:rFonts w:hint="default" w:ascii="Wingdings" w:hAnsi="Wingdings"/>
      </w:rPr>
    </w:lvl>
    <w:lvl w:ilvl="6" w:tentative="0">
      <w:start w:val="1"/>
      <w:numFmt w:val="bullet"/>
      <w:lvlText w:val=""/>
      <w:lvlJc w:val="left"/>
      <w:pPr>
        <w:ind w:left="3040" w:hanging="420"/>
      </w:pPr>
      <w:rPr>
        <w:rFonts w:hint="default" w:ascii="Wingdings" w:hAnsi="Wingdings"/>
      </w:rPr>
    </w:lvl>
    <w:lvl w:ilvl="7" w:tentative="0">
      <w:start w:val="1"/>
      <w:numFmt w:val="bullet"/>
      <w:lvlText w:val=""/>
      <w:lvlJc w:val="left"/>
      <w:pPr>
        <w:ind w:left="3460" w:hanging="420"/>
      </w:pPr>
      <w:rPr>
        <w:rFonts w:hint="default" w:ascii="Wingdings" w:hAnsi="Wingdings"/>
      </w:rPr>
    </w:lvl>
    <w:lvl w:ilvl="8" w:tentative="0">
      <w:start w:val="1"/>
      <w:numFmt w:val="bullet"/>
      <w:lvlText w:val=""/>
      <w:lvlJc w:val="left"/>
      <w:pPr>
        <w:ind w:left="3880" w:hanging="420"/>
      </w:pPr>
      <w:rPr>
        <w:rFonts w:hint="default" w:ascii="Wingdings" w:hAnsi="Wingdings"/>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2DF2"/>
    <w:rsid w:val="00005821"/>
    <w:rsid w:val="00006D74"/>
    <w:rsid w:val="00022E4A"/>
    <w:rsid w:val="00027130"/>
    <w:rsid w:val="000316E8"/>
    <w:rsid w:val="00042D34"/>
    <w:rsid w:val="00055F78"/>
    <w:rsid w:val="000739C4"/>
    <w:rsid w:val="00074235"/>
    <w:rsid w:val="00076534"/>
    <w:rsid w:val="000877DD"/>
    <w:rsid w:val="000A6394"/>
    <w:rsid w:val="000B2847"/>
    <w:rsid w:val="000B3A29"/>
    <w:rsid w:val="000B6DCC"/>
    <w:rsid w:val="000B7FED"/>
    <w:rsid w:val="000C038A"/>
    <w:rsid w:val="000C3EBE"/>
    <w:rsid w:val="000C5991"/>
    <w:rsid w:val="000C6598"/>
    <w:rsid w:val="000D44B3"/>
    <w:rsid w:val="000F7498"/>
    <w:rsid w:val="001016E4"/>
    <w:rsid w:val="001066B8"/>
    <w:rsid w:val="001238ED"/>
    <w:rsid w:val="00123E54"/>
    <w:rsid w:val="00145D43"/>
    <w:rsid w:val="001461EC"/>
    <w:rsid w:val="001562E5"/>
    <w:rsid w:val="00157E68"/>
    <w:rsid w:val="00163B91"/>
    <w:rsid w:val="001724B3"/>
    <w:rsid w:val="0017316E"/>
    <w:rsid w:val="00184EB7"/>
    <w:rsid w:val="001855F6"/>
    <w:rsid w:val="00192C46"/>
    <w:rsid w:val="001970E4"/>
    <w:rsid w:val="001A08B3"/>
    <w:rsid w:val="001A7B60"/>
    <w:rsid w:val="001B52F0"/>
    <w:rsid w:val="001B7A65"/>
    <w:rsid w:val="001C4631"/>
    <w:rsid w:val="001C5D17"/>
    <w:rsid w:val="001D3492"/>
    <w:rsid w:val="001D45CC"/>
    <w:rsid w:val="001E0625"/>
    <w:rsid w:val="001E41F3"/>
    <w:rsid w:val="001E5F64"/>
    <w:rsid w:val="00205E81"/>
    <w:rsid w:val="00213BCA"/>
    <w:rsid w:val="0021507F"/>
    <w:rsid w:val="0024104F"/>
    <w:rsid w:val="002437F7"/>
    <w:rsid w:val="002448E2"/>
    <w:rsid w:val="0026004D"/>
    <w:rsid w:val="002640DD"/>
    <w:rsid w:val="0027031D"/>
    <w:rsid w:val="00275D12"/>
    <w:rsid w:val="00284FEB"/>
    <w:rsid w:val="002860C4"/>
    <w:rsid w:val="002933FC"/>
    <w:rsid w:val="00293F0D"/>
    <w:rsid w:val="00295DB0"/>
    <w:rsid w:val="002A6CA0"/>
    <w:rsid w:val="002B5741"/>
    <w:rsid w:val="002D6387"/>
    <w:rsid w:val="002E472E"/>
    <w:rsid w:val="00305409"/>
    <w:rsid w:val="0030697B"/>
    <w:rsid w:val="00312325"/>
    <w:rsid w:val="003160FE"/>
    <w:rsid w:val="00331414"/>
    <w:rsid w:val="003344AB"/>
    <w:rsid w:val="00334D00"/>
    <w:rsid w:val="00350AE6"/>
    <w:rsid w:val="00353D64"/>
    <w:rsid w:val="003550AB"/>
    <w:rsid w:val="00360034"/>
    <w:rsid w:val="003609EF"/>
    <w:rsid w:val="00361D94"/>
    <w:rsid w:val="0036231A"/>
    <w:rsid w:val="0036638B"/>
    <w:rsid w:val="00370B8F"/>
    <w:rsid w:val="00374DD4"/>
    <w:rsid w:val="00380E1F"/>
    <w:rsid w:val="003A42ED"/>
    <w:rsid w:val="003B235B"/>
    <w:rsid w:val="003D1178"/>
    <w:rsid w:val="003D3126"/>
    <w:rsid w:val="003E1A36"/>
    <w:rsid w:val="003E331A"/>
    <w:rsid w:val="003E3BD3"/>
    <w:rsid w:val="003F5B94"/>
    <w:rsid w:val="00407CF7"/>
    <w:rsid w:val="00410371"/>
    <w:rsid w:val="0041632C"/>
    <w:rsid w:val="004242F1"/>
    <w:rsid w:val="004309B9"/>
    <w:rsid w:val="00441B13"/>
    <w:rsid w:val="00453FC3"/>
    <w:rsid w:val="004A5AF3"/>
    <w:rsid w:val="004B2E4F"/>
    <w:rsid w:val="004B3A47"/>
    <w:rsid w:val="004B6A45"/>
    <w:rsid w:val="004B75B7"/>
    <w:rsid w:val="004C402C"/>
    <w:rsid w:val="004C40F6"/>
    <w:rsid w:val="004C7CE2"/>
    <w:rsid w:val="004D6E0C"/>
    <w:rsid w:val="004E029F"/>
    <w:rsid w:val="004F342E"/>
    <w:rsid w:val="004F5489"/>
    <w:rsid w:val="0050589B"/>
    <w:rsid w:val="0050768F"/>
    <w:rsid w:val="0051016C"/>
    <w:rsid w:val="00512F96"/>
    <w:rsid w:val="005141D9"/>
    <w:rsid w:val="0051580D"/>
    <w:rsid w:val="0051640D"/>
    <w:rsid w:val="00520CB2"/>
    <w:rsid w:val="005259FD"/>
    <w:rsid w:val="00527F62"/>
    <w:rsid w:val="00530731"/>
    <w:rsid w:val="005416A5"/>
    <w:rsid w:val="00547111"/>
    <w:rsid w:val="00566F50"/>
    <w:rsid w:val="00580039"/>
    <w:rsid w:val="00580341"/>
    <w:rsid w:val="00583C24"/>
    <w:rsid w:val="0059260B"/>
    <w:rsid w:val="00592D74"/>
    <w:rsid w:val="00593444"/>
    <w:rsid w:val="00595265"/>
    <w:rsid w:val="00597E61"/>
    <w:rsid w:val="005A1F2D"/>
    <w:rsid w:val="005A5BD0"/>
    <w:rsid w:val="005A6B90"/>
    <w:rsid w:val="005B4530"/>
    <w:rsid w:val="005C2220"/>
    <w:rsid w:val="005C385B"/>
    <w:rsid w:val="005C4062"/>
    <w:rsid w:val="005C5A62"/>
    <w:rsid w:val="005D6A74"/>
    <w:rsid w:val="005D7466"/>
    <w:rsid w:val="005E2C44"/>
    <w:rsid w:val="005F226E"/>
    <w:rsid w:val="006005B5"/>
    <w:rsid w:val="00602DF3"/>
    <w:rsid w:val="006033BD"/>
    <w:rsid w:val="006152F6"/>
    <w:rsid w:val="00617091"/>
    <w:rsid w:val="0061728C"/>
    <w:rsid w:val="00620754"/>
    <w:rsid w:val="00621188"/>
    <w:rsid w:val="006257ED"/>
    <w:rsid w:val="006306DA"/>
    <w:rsid w:val="00635A86"/>
    <w:rsid w:val="00636C63"/>
    <w:rsid w:val="006400EE"/>
    <w:rsid w:val="0064053B"/>
    <w:rsid w:val="0065369A"/>
    <w:rsid w:val="00653DE4"/>
    <w:rsid w:val="00660355"/>
    <w:rsid w:val="0066465F"/>
    <w:rsid w:val="00665C47"/>
    <w:rsid w:val="00672D42"/>
    <w:rsid w:val="00677ECD"/>
    <w:rsid w:val="00681D12"/>
    <w:rsid w:val="00682755"/>
    <w:rsid w:val="006838AC"/>
    <w:rsid w:val="00683B50"/>
    <w:rsid w:val="00695808"/>
    <w:rsid w:val="006A149D"/>
    <w:rsid w:val="006A492C"/>
    <w:rsid w:val="006A7F7A"/>
    <w:rsid w:val="006B46FB"/>
    <w:rsid w:val="006C027C"/>
    <w:rsid w:val="006C040B"/>
    <w:rsid w:val="006C26C0"/>
    <w:rsid w:val="006C283D"/>
    <w:rsid w:val="006E21FB"/>
    <w:rsid w:val="006F366C"/>
    <w:rsid w:val="006F53F7"/>
    <w:rsid w:val="006F57C1"/>
    <w:rsid w:val="006F5EE1"/>
    <w:rsid w:val="006F6349"/>
    <w:rsid w:val="00704E14"/>
    <w:rsid w:val="007052E6"/>
    <w:rsid w:val="00715F78"/>
    <w:rsid w:val="00724DE5"/>
    <w:rsid w:val="00725D54"/>
    <w:rsid w:val="0072667B"/>
    <w:rsid w:val="0072776E"/>
    <w:rsid w:val="0073488E"/>
    <w:rsid w:val="00741AE0"/>
    <w:rsid w:val="00746EE2"/>
    <w:rsid w:val="007626A5"/>
    <w:rsid w:val="00763C5D"/>
    <w:rsid w:val="007673F5"/>
    <w:rsid w:val="0077738C"/>
    <w:rsid w:val="00781536"/>
    <w:rsid w:val="00782006"/>
    <w:rsid w:val="0078259C"/>
    <w:rsid w:val="00792342"/>
    <w:rsid w:val="007977A8"/>
    <w:rsid w:val="007B2FBF"/>
    <w:rsid w:val="007B512A"/>
    <w:rsid w:val="007C2097"/>
    <w:rsid w:val="007C4BC1"/>
    <w:rsid w:val="007D6A07"/>
    <w:rsid w:val="007E1C8C"/>
    <w:rsid w:val="007E6C0C"/>
    <w:rsid w:val="007F7259"/>
    <w:rsid w:val="00800397"/>
    <w:rsid w:val="008040A8"/>
    <w:rsid w:val="00806990"/>
    <w:rsid w:val="00807617"/>
    <w:rsid w:val="00823EAA"/>
    <w:rsid w:val="008279FA"/>
    <w:rsid w:val="008322D3"/>
    <w:rsid w:val="0083690E"/>
    <w:rsid w:val="00854241"/>
    <w:rsid w:val="00854EB1"/>
    <w:rsid w:val="008626E7"/>
    <w:rsid w:val="008662B1"/>
    <w:rsid w:val="00867833"/>
    <w:rsid w:val="00870EE7"/>
    <w:rsid w:val="008770C0"/>
    <w:rsid w:val="008815F0"/>
    <w:rsid w:val="008863B9"/>
    <w:rsid w:val="0089320C"/>
    <w:rsid w:val="008A37F9"/>
    <w:rsid w:val="008A45A6"/>
    <w:rsid w:val="008A5B62"/>
    <w:rsid w:val="008C7D6F"/>
    <w:rsid w:val="008D1CF4"/>
    <w:rsid w:val="008D3CAC"/>
    <w:rsid w:val="008D3CCC"/>
    <w:rsid w:val="008D4E6C"/>
    <w:rsid w:val="008E5651"/>
    <w:rsid w:val="008F1832"/>
    <w:rsid w:val="008F3789"/>
    <w:rsid w:val="008F60E7"/>
    <w:rsid w:val="008F686C"/>
    <w:rsid w:val="00901016"/>
    <w:rsid w:val="0090646E"/>
    <w:rsid w:val="009148DE"/>
    <w:rsid w:val="0092434E"/>
    <w:rsid w:val="009335B4"/>
    <w:rsid w:val="00933DFA"/>
    <w:rsid w:val="00941E30"/>
    <w:rsid w:val="00946847"/>
    <w:rsid w:val="00947DA3"/>
    <w:rsid w:val="00952DE2"/>
    <w:rsid w:val="00953866"/>
    <w:rsid w:val="009660DD"/>
    <w:rsid w:val="00972D1A"/>
    <w:rsid w:val="009777D9"/>
    <w:rsid w:val="009844A7"/>
    <w:rsid w:val="0098543B"/>
    <w:rsid w:val="0098639E"/>
    <w:rsid w:val="00986D0F"/>
    <w:rsid w:val="00991B88"/>
    <w:rsid w:val="0099304D"/>
    <w:rsid w:val="00997792"/>
    <w:rsid w:val="00997CBC"/>
    <w:rsid w:val="009A3360"/>
    <w:rsid w:val="009A40D9"/>
    <w:rsid w:val="009A5753"/>
    <w:rsid w:val="009A579D"/>
    <w:rsid w:val="009B0C95"/>
    <w:rsid w:val="009B4D8E"/>
    <w:rsid w:val="009B6344"/>
    <w:rsid w:val="009C281C"/>
    <w:rsid w:val="009C7AC8"/>
    <w:rsid w:val="009D29A1"/>
    <w:rsid w:val="009D3C49"/>
    <w:rsid w:val="009E3297"/>
    <w:rsid w:val="009F4DC9"/>
    <w:rsid w:val="009F5992"/>
    <w:rsid w:val="009F734F"/>
    <w:rsid w:val="00A0437A"/>
    <w:rsid w:val="00A1484C"/>
    <w:rsid w:val="00A246B6"/>
    <w:rsid w:val="00A32E22"/>
    <w:rsid w:val="00A460A6"/>
    <w:rsid w:val="00A47E70"/>
    <w:rsid w:val="00A50CF0"/>
    <w:rsid w:val="00A55C66"/>
    <w:rsid w:val="00A60BF7"/>
    <w:rsid w:val="00A66B39"/>
    <w:rsid w:val="00A67E77"/>
    <w:rsid w:val="00A7671C"/>
    <w:rsid w:val="00A80994"/>
    <w:rsid w:val="00A97BF9"/>
    <w:rsid w:val="00AA1719"/>
    <w:rsid w:val="00AA2CBC"/>
    <w:rsid w:val="00AA583B"/>
    <w:rsid w:val="00AB13E9"/>
    <w:rsid w:val="00AC5820"/>
    <w:rsid w:val="00AC6D67"/>
    <w:rsid w:val="00AD1CD8"/>
    <w:rsid w:val="00AD6F25"/>
    <w:rsid w:val="00AE07BF"/>
    <w:rsid w:val="00AE5FE9"/>
    <w:rsid w:val="00AF36E8"/>
    <w:rsid w:val="00AF7F4E"/>
    <w:rsid w:val="00B00C78"/>
    <w:rsid w:val="00B1759F"/>
    <w:rsid w:val="00B258BB"/>
    <w:rsid w:val="00B35A56"/>
    <w:rsid w:val="00B37D1D"/>
    <w:rsid w:val="00B5072A"/>
    <w:rsid w:val="00B55D28"/>
    <w:rsid w:val="00B62E0B"/>
    <w:rsid w:val="00B67B97"/>
    <w:rsid w:val="00B732FE"/>
    <w:rsid w:val="00B83E4D"/>
    <w:rsid w:val="00B853F9"/>
    <w:rsid w:val="00B90DF2"/>
    <w:rsid w:val="00B968C8"/>
    <w:rsid w:val="00BA3EC5"/>
    <w:rsid w:val="00BA508B"/>
    <w:rsid w:val="00BA51D9"/>
    <w:rsid w:val="00BB5DFC"/>
    <w:rsid w:val="00BC4295"/>
    <w:rsid w:val="00BC6CF4"/>
    <w:rsid w:val="00BD279D"/>
    <w:rsid w:val="00BD283F"/>
    <w:rsid w:val="00BD2A79"/>
    <w:rsid w:val="00BD6B5A"/>
    <w:rsid w:val="00BD6BB8"/>
    <w:rsid w:val="00BE3E08"/>
    <w:rsid w:val="00BF5A10"/>
    <w:rsid w:val="00C109E3"/>
    <w:rsid w:val="00C1236C"/>
    <w:rsid w:val="00C141EA"/>
    <w:rsid w:val="00C1478E"/>
    <w:rsid w:val="00C2161D"/>
    <w:rsid w:val="00C3432D"/>
    <w:rsid w:val="00C42D64"/>
    <w:rsid w:val="00C44D96"/>
    <w:rsid w:val="00C4616B"/>
    <w:rsid w:val="00C526E5"/>
    <w:rsid w:val="00C62D2A"/>
    <w:rsid w:val="00C650A6"/>
    <w:rsid w:val="00C66BA2"/>
    <w:rsid w:val="00C6757A"/>
    <w:rsid w:val="00C67E91"/>
    <w:rsid w:val="00C7060E"/>
    <w:rsid w:val="00C73E1D"/>
    <w:rsid w:val="00C73FE4"/>
    <w:rsid w:val="00C807E1"/>
    <w:rsid w:val="00C829E4"/>
    <w:rsid w:val="00C870F6"/>
    <w:rsid w:val="00C872EA"/>
    <w:rsid w:val="00C922FE"/>
    <w:rsid w:val="00C9360D"/>
    <w:rsid w:val="00C95985"/>
    <w:rsid w:val="00CA05BE"/>
    <w:rsid w:val="00CA0D25"/>
    <w:rsid w:val="00CA414B"/>
    <w:rsid w:val="00CA5214"/>
    <w:rsid w:val="00CA76B2"/>
    <w:rsid w:val="00CB3976"/>
    <w:rsid w:val="00CB4386"/>
    <w:rsid w:val="00CB734C"/>
    <w:rsid w:val="00CB7D1D"/>
    <w:rsid w:val="00CC16D2"/>
    <w:rsid w:val="00CC5026"/>
    <w:rsid w:val="00CC68D0"/>
    <w:rsid w:val="00CD4D01"/>
    <w:rsid w:val="00CD7E94"/>
    <w:rsid w:val="00CE3B87"/>
    <w:rsid w:val="00CE6421"/>
    <w:rsid w:val="00D01898"/>
    <w:rsid w:val="00D03F9A"/>
    <w:rsid w:val="00D06B0F"/>
    <w:rsid w:val="00D06D51"/>
    <w:rsid w:val="00D24991"/>
    <w:rsid w:val="00D25580"/>
    <w:rsid w:val="00D30624"/>
    <w:rsid w:val="00D32A11"/>
    <w:rsid w:val="00D432AB"/>
    <w:rsid w:val="00D45C1F"/>
    <w:rsid w:val="00D45ED8"/>
    <w:rsid w:val="00D50255"/>
    <w:rsid w:val="00D523FA"/>
    <w:rsid w:val="00D55E6C"/>
    <w:rsid w:val="00D66520"/>
    <w:rsid w:val="00D836B4"/>
    <w:rsid w:val="00D84AE9"/>
    <w:rsid w:val="00D9756A"/>
    <w:rsid w:val="00DB0E2F"/>
    <w:rsid w:val="00DB24F4"/>
    <w:rsid w:val="00DC4BD4"/>
    <w:rsid w:val="00DE26B7"/>
    <w:rsid w:val="00DE34CF"/>
    <w:rsid w:val="00DF03B3"/>
    <w:rsid w:val="00DF5344"/>
    <w:rsid w:val="00E01DCE"/>
    <w:rsid w:val="00E13494"/>
    <w:rsid w:val="00E13F3D"/>
    <w:rsid w:val="00E23CC3"/>
    <w:rsid w:val="00E2793B"/>
    <w:rsid w:val="00E27AE9"/>
    <w:rsid w:val="00E34898"/>
    <w:rsid w:val="00E36AF7"/>
    <w:rsid w:val="00E65FC3"/>
    <w:rsid w:val="00E6750F"/>
    <w:rsid w:val="00E71F5F"/>
    <w:rsid w:val="00E77EF8"/>
    <w:rsid w:val="00EB09B7"/>
    <w:rsid w:val="00EC3307"/>
    <w:rsid w:val="00EC339B"/>
    <w:rsid w:val="00ED0FFE"/>
    <w:rsid w:val="00EE7D7C"/>
    <w:rsid w:val="00EF7A6C"/>
    <w:rsid w:val="00F00790"/>
    <w:rsid w:val="00F0097D"/>
    <w:rsid w:val="00F05535"/>
    <w:rsid w:val="00F156E7"/>
    <w:rsid w:val="00F17DD2"/>
    <w:rsid w:val="00F21458"/>
    <w:rsid w:val="00F25D98"/>
    <w:rsid w:val="00F2761F"/>
    <w:rsid w:val="00F300FB"/>
    <w:rsid w:val="00F30567"/>
    <w:rsid w:val="00F34A0B"/>
    <w:rsid w:val="00F47531"/>
    <w:rsid w:val="00F6152D"/>
    <w:rsid w:val="00F65D49"/>
    <w:rsid w:val="00F71A18"/>
    <w:rsid w:val="00F75A8F"/>
    <w:rsid w:val="00F8107C"/>
    <w:rsid w:val="00F96CE0"/>
    <w:rsid w:val="00F97F8F"/>
    <w:rsid w:val="00FB47AC"/>
    <w:rsid w:val="00FB495C"/>
    <w:rsid w:val="00FB6386"/>
    <w:rsid w:val="00FC3A49"/>
    <w:rsid w:val="00FD6221"/>
    <w:rsid w:val="00FE6714"/>
    <w:rsid w:val="00FF6F92"/>
    <w:rsid w:val="01013CDC"/>
    <w:rsid w:val="01145951"/>
    <w:rsid w:val="013B1094"/>
    <w:rsid w:val="01815F85"/>
    <w:rsid w:val="01C468A6"/>
    <w:rsid w:val="01D70F12"/>
    <w:rsid w:val="01EA49A4"/>
    <w:rsid w:val="02046644"/>
    <w:rsid w:val="026D5C3B"/>
    <w:rsid w:val="02742601"/>
    <w:rsid w:val="02780A9B"/>
    <w:rsid w:val="02D45932"/>
    <w:rsid w:val="02D528A5"/>
    <w:rsid w:val="02F957F5"/>
    <w:rsid w:val="02FE1FC6"/>
    <w:rsid w:val="03067406"/>
    <w:rsid w:val="032121AE"/>
    <w:rsid w:val="034C25AB"/>
    <w:rsid w:val="036F35F7"/>
    <w:rsid w:val="038015C6"/>
    <w:rsid w:val="03975670"/>
    <w:rsid w:val="03AC0546"/>
    <w:rsid w:val="03D66E90"/>
    <w:rsid w:val="03E531F1"/>
    <w:rsid w:val="03E71F77"/>
    <w:rsid w:val="044C1C9B"/>
    <w:rsid w:val="046A7868"/>
    <w:rsid w:val="04F62134"/>
    <w:rsid w:val="050046C8"/>
    <w:rsid w:val="05154705"/>
    <w:rsid w:val="05164BE7"/>
    <w:rsid w:val="0522647B"/>
    <w:rsid w:val="052C2D4C"/>
    <w:rsid w:val="055D6D9E"/>
    <w:rsid w:val="057300F5"/>
    <w:rsid w:val="05B16FE4"/>
    <w:rsid w:val="05C20583"/>
    <w:rsid w:val="05CB1944"/>
    <w:rsid w:val="05EB2641"/>
    <w:rsid w:val="06331B3C"/>
    <w:rsid w:val="064268D3"/>
    <w:rsid w:val="064E4528"/>
    <w:rsid w:val="06503E54"/>
    <w:rsid w:val="067F1777"/>
    <w:rsid w:val="06A430F4"/>
    <w:rsid w:val="06AC26FF"/>
    <w:rsid w:val="06B01105"/>
    <w:rsid w:val="06B321F7"/>
    <w:rsid w:val="06D0229F"/>
    <w:rsid w:val="07044413"/>
    <w:rsid w:val="07175632"/>
    <w:rsid w:val="07660C34"/>
    <w:rsid w:val="07944BFB"/>
    <w:rsid w:val="07A74C37"/>
    <w:rsid w:val="07AB5FF7"/>
    <w:rsid w:val="07B0452B"/>
    <w:rsid w:val="07BC033E"/>
    <w:rsid w:val="07C3155E"/>
    <w:rsid w:val="07DE1E55"/>
    <w:rsid w:val="07E029EC"/>
    <w:rsid w:val="07E86502"/>
    <w:rsid w:val="07F8520A"/>
    <w:rsid w:val="08042BC9"/>
    <w:rsid w:val="082C0A71"/>
    <w:rsid w:val="082D517A"/>
    <w:rsid w:val="08A53B3F"/>
    <w:rsid w:val="08B00A4A"/>
    <w:rsid w:val="08B32E54"/>
    <w:rsid w:val="08C071D8"/>
    <w:rsid w:val="08E9552D"/>
    <w:rsid w:val="09015152"/>
    <w:rsid w:val="09670379"/>
    <w:rsid w:val="09892C07"/>
    <w:rsid w:val="09F85970"/>
    <w:rsid w:val="0A112E3F"/>
    <w:rsid w:val="0A1B49A5"/>
    <w:rsid w:val="0A262D36"/>
    <w:rsid w:val="0A550002"/>
    <w:rsid w:val="0A58438E"/>
    <w:rsid w:val="0A8A2A5A"/>
    <w:rsid w:val="0AC97FC1"/>
    <w:rsid w:val="0ADB4C1C"/>
    <w:rsid w:val="0B267A73"/>
    <w:rsid w:val="0B456CBC"/>
    <w:rsid w:val="0B696845"/>
    <w:rsid w:val="0B7B1FE3"/>
    <w:rsid w:val="0B834969"/>
    <w:rsid w:val="0B9D4BEF"/>
    <w:rsid w:val="0BC23B55"/>
    <w:rsid w:val="0BC55A9D"/>
    <w:rsid w:val="0BDC67A9"/>
    <w:rsid w:val="0BE63B9D"/>
    <w:rsid w:val="0BE80418"/>
    <w:rsid w:val="0C07544A"/>
    <w:rsid w:val="0C0A63CF"/>
    <w:rsid w:val="0C1621E1"/>
    <w:rsid w:val="0C291370"/>
    <w:rsid w:val="0C4F30D1"/>
    <w:rsid w:val="0C604AAF"/>
    <w:rsid w:val="0C712EE4"/>
    <w:rsid w:val="0C717078"/>
    <w:rsid w:val="0C944F6B"/>
    <w:rsid w:val="0C9E0E40"/>
    <w:rsid w:val="0CC5756C"/>
    <w:rsid w:val="0D051AEA"/>
    <w:rsid w:val="0D1C1D53"/>
    <w:rsid w:val="0D2714C0"/>
    <w:rsid w:val="0D7B27E6"/>
    <w:rsid w:val="0D8B153A"/>
    <w:rsid w:val="0DD002B9"/>
    <w:rsid w:val="0E3C466A"/>
    <w:rsid w:val="0E3F056D"/>
    <w:rsid w:val="0E7819CB"/>
    <w:rsid w:val="0E7D5E53"/>
    <w:rsid w:val="0F0260AC"/>
    <w:rsid w:val="0F0F4BE9"/>
    <w:rsid w:val="0F9E0006"/>
    <w:rsid w:val="0FBE4261"/>
    <w:rsid w:val="0FC41443"/>
    <w:rsid w:val="0FD61908"/>
    <w:rsid w:val="0FD72C0C"/>
    <w:rsid w:val="0FDD2A1C"/>
    <w:rsid w:val="0FEC2511"/>
    <w:rsid w:val="0FED692C"/>
    <w:rsid w:val="0FFA76C7"/>
    <w:rsid w:val="100F78F7"/>
    <w:rsid w:val="1087545C"/>
    <w:rsid w:val="10921D68"/>
    <w:rsid w:val="10A6675D"/>
    <w:rsid w:val="10BD7E92"/>
    <w:rsid w:val="10D053AB"/>
    <w:rsid w:val="10E25525"/>
    <w:rsid w:val="10E36919"/>
    <w:rsid w:val="10FD716C"/>
    <w:rsid w:val="11345C26"/>
    <w:rsid w:val="113973A6"/>
    <w:rsid w:val="114742C4"/>
    <w:rsid w:val="115E3A08"/>
    <w:rsid w:val="118F1F5E"/>
    <w:rsid w:val="119618E8"/>
    <w:rsid w:val="11C625FA"/>
    <w:rsid w:val="11D01646"/>
    <w:rsid w:val="120A0215"/>
    <w:rsid w:val="121005C7"/>
    <w:rsid w:val="1218482D"/>
    <w:rsid w:val="123404ED"/>
    <w:rsid w:val="12421A01"/>
    <w:rsid w:val="124D5372"/>
    <w:rsid w:val="129E211B"/>
    <w:rsid w:val="12B0711B"/>
    <w:rsid w:val="12B51B80"/>
    <w:rsid w:val="12B90746"/>
    <w:rsid w:val="12D94A86"/>
    <w:rsid w:val="13453BAE"/>
    <w:rsid w:val="134B7CB5"/>
    <w:rsid w:val="1361691A"/>
    <w:rsid w:val="136C223D"/>
    <w:rsid w:val="136F116E"/>
    <w:rsid w:val="13EB044B"/>
    <w:rsid w:val="13EE71DD"/>
    <w:rsid w:val="13F34A33"/>
    <w:rsid w:val="14025795"/>
    <w:rsid w:val="141C5377"/>
    <w:rsid w:val="142756AD"/>
    <w:rsid w:val="143B75BD"/>
    <w:rsid w:val="147B7B72"/>
    <w:rsid w:val="14AB6978"/>
    <w:rsid w:val="14C00F88"/>
    <w:rsid w:val="14D700F7"/>
    <w:rsid w:val="14F270EC"/>
    <w:rsid w:val="152704C0"/>
    <w:rsid w:val="152F4368"/>
    <w:rsid w:val="154B7816"/>
    <w:rsid w:val="15692D01"/>
    <w:rsid w:val="15890D39"/>
    <w:rsid w:val="15952E6A"/>
    <w:rsid w:val="15BA7A59"/>
    <w:rsid w:val="15CC6DCB"/>
    <w:rsid w:val="15CD44D1"/>
    <w:rsid w:val="15F92806"/>
    <w:rsid w:val="15FA1B1D"/>
    <w:rsid w:val="161D5BC5"/>
    <w:rsid w:val="16211B9C"/>
    <w:rsid w:val="16360BC6"/>
    <w:rsid w:val="164025A5"/>
    <w:rsid w:val="165678E5"/>
    <w:rsid w:val="168620FE"/>
    <w:rsid w:val="16B212CB"/>
    <w:rsid w:val="16C23AE4"/>
    <w:rsid w:val="16CF2DFA"/>
    <w:rsid w:val="17222C66"/>
    <w:rsid w:val="17252504"/>
    <w:rsid w:val="1732013F"/>
    <w:rsid w:val="178B4A6C"/>
    <w:rsid w:val="178C6A30"/>
    <w:rsid w:val="17931C04"/>
    <w:rsid w:val="179E76C8"/>
    <w:rsid w:val="17CF299D"/>
    <w:rsid w:val="18150F13"/>
    <w:rsid w:val="183F653A"/>
    <w:rsid w:val="184064F9"/>
    <w:rsid w:val="184A22E6"/>
    <w:rsid w:val="186C3B20"/>
    <w:rsid w:val="187111EB"/>
    <w:rsid w:val="18804D3F"/>
    <w:rsid w:val="189A5C4F"/>
    <w:rsid w:val="18AC4909"/>
    <w:rsid w:val="18DE30CB"/>
    <w:rsid w:val="18DE63DD"/>
    <w:rsid w:val="18F57BE3"/>
    <w:rsid w:val="1923584D"/>
    <w:rsid w:val="196C36C2"/>
    <w:rsid w:val="19751DD4"/>
    <w:rsid w:val="19C26650"/>
    <w:rsid w:val="19E12AE4"/>
    <w:rsid w:val="19E21103"/>
    <w:rsid w:val="19E64F1C"/>
    <w:rsid w:val="19EA650F"/>
    <w:rsid w:val="19F453DF"/>
    <w:rsid w:val="1A011812"/>
    <w:rsid w:val="1A1276D4"/>
    <w:rsid w:val="1A6454E7"/>
    <w:rsid w:val="1ACA358A"/>
    <w:rsid w:val="1AE312C8"/>
    <w:rsid w:val="1AF347C3"/>
    <w:rsid w:val="1B065DB1"/>
    <w:rsid w:val="1B0A43E8"/>
    <w:rsid w:val="1B3F26C4"/>
    <w:rsid w:val="1B665E07"/>
    <w:rsid w:val="1B762B8F"/>
    <w:rsid w:val="1B9A3CD7"/>
    <w:rsid w:val="1BB50104"/>
    <w:rsid w:val="1BC23B97"/>
    <w:rsid w:val="1BCC1F28"/>
    <w:rsid w:val="1BD45161"/>
    <w:rsid w:val="1BE3644F"/>
    <w:rsid w:val="1BE766F9"/>
    <w:rsid w:val="1BF2613D"/>
    <w:rsid w:val="1C112A1C"/>
    <w:rsid w:val="1C1369FB"/>
    <w:rsid w:val="1C385254"/>
    <w:rsid w:val="1CA11007"/>
    <w:rsid w:val="1CC659C3"/>
    <w:rsid w:val="1CD970E6"/>
    <w:rsid w:val="1CDD4C32"/>
    <w:rsid w:val="1CFB4B98"/>
    <w:rsid w:val="1D050D2B"/>
    <w:rsid w:val="1D477165"/>
    <w:rsid w:val="1D59179E"/>
    <w:rsid w:val="1D5E3540"/>
    <w:rsid w:val="1D772D50"/>
    <w:rsid w:val="1D8033DE"/>
    <w:rsid w:val="1D9E15BC"/>
    <w:rsid w:val="1DBA34CB"/>
    <w:rsid w:val="1DD05A59"/>
    <w:rsid w:val="1DE20722"/>
    <w:rsid w:val="1E1B02D9"/>
    <w:rsid w:val="1E2E7514"/>
    <w:rsid w:val="1E411B12"/>
    <w:rsid w:val="1E4869A5"/>
    <w:rsid w:val="1E86603F"/>
    <w:rsid w:val="1E8E3369"/>
    <w:rsid w:val="1EAC5B8B"/>
    <w:rsid w:val="1EED5CD3"/>
    <w:rsid w:val="1F225822"/>
    <w:rsid w:val="1F4F505E"/>
    <w:rsid w:val="1F581C12"/>
    <w:rsid w:val="1F993317"/>
    <w:rsid w:val="1FE04BDC"/>
    <w:rsid w:val="1FE53362"/>
    <w:rsid w:val="1FEE62F0"/>
    <w:rsid w:val="2006711A"/>
    <w:rsid w:val="205513B6"/>
    <w:rsid w:val="20783BD5"/>
    <w:rsid w:val="209B18A6"/>
    <w:rsid w:val="20AC5329"/>
    <w:rsid w:val="20C13E5C"/>
    <w:rsid w:val="21093D59"/>
    <w:rsid w:val="21097DDF"/>
    <w:rsid w:val="21135FD2"/>
    <w:rsid w:val="21831B09"/>
    <w:rsid w:val="219369B4"/>
    <w:rsid w:val="21A4295B"/>
    <w:rsid w:val="21A654B7"/>
    <w:rsid w:val="21D40804"/>
    <w:rsid w:val="21D87015"/>
    <w:rsid w:val="21F55F42"/>
    <w:rsid w:val="22193302"/>
    <w:rsid w:val="2235037E"/>
    <w:rsid w:val="22560A16"/>
    <w:rsid w:val="2278210B"/>
    <w:rsid w:val="22D86BB8"/>
    <w:rsid w:val="2331054B"/>
    <w:rsid w:val="237B36F5"/>
    <w:rsid w:val="238222C5"/>
    <w:rsid w:val="2383729F"/>
    <w:rsid w:val="23961EEA"/>
    <w:rsid w:val="23B072B8"/>
    <w:rsid w:val="23C924BA"/>
    <w:rsid w:val="23DB0465"/>
    <w:rsid w:val="24024244"/>
    <w:rsid w:val="2448004A"/>
    <w:rsid w:val="244D504C"/>
    <w:rsid w:val="245F573A"/>
    <w:rsid w:val="24734227"/>
    <w:rsid w:val="24AC4B29"/>
    <w:rsid w:val="24BC1655"/>
    <w:rsid w:val="24DD5323"/>
    <w:rsid w:val="24FF4452"/>
    <w:rsid w:val="24FF74C5"/>
    <w:rsid w:val="250B0B09"/>
    <w:rsid w:val="25715105"/>
    <w:rsid w:val="25824598"/>
    <w:rsid w:val="25886545"/>
    <w:rsid w:val="25AD07BE"/>
    <w:rsid w:val="25E01FB6"/>
    <w:rsid w:val="25F80BEF"/>
    <w:rsid w:val="25FB5C09"/>
    <w:rsid w:val="261854C9"/>
    <w:rsid w:val="266F3F13"/>
    <w:rsid w:val="26723EA0"/>
    <w:rsid w:val="267C163E"/>
    <w:rsid w:val="26981F8D"/>
    <w:rsid w:val="26B31F72"/>
    <w:rsid w:val="26BB0B1D"/>
    <w:rsid w:val="26D43F45"/>
    <w:rsid w:val="26D67448"/>
    <w:rsid w:val="26EB0E23"/>
    <w:rsid w:val="270A5829"/>
    <w:rsid w:val="27241321"/>
    <w:rsid w:val="272F0B6D"/>
    <w:rsid w:val="275169FB"/>
    <w:rsid w:val="27683133"/>
    <w:rsid w:val="27692A4D"/>
    <w:rsid w:val="277A46D2"/>
    <w:rsid w:val="278018A3"/>
    <w:rsid w:val="279B048A"/>
    <w:rsid w:val="279C33CF"/>
    <w:rsid w:val="27A11D98"/>
    <w:rsid w:val="27A9420C"/>
    <w:rsid w:val="27AB361E"/>
    <w:rsid w:val="27B53233"/>
    <w:rsid w:val="27DB385B"/>
    <w:rsid w:val="27DD5539"/>
    <w:rsid w:val="27E574DC"/>
    <w:rsid w:val="27F3307B"/>
    <w:rsid w:val="27F514CC"/>
    <w:rsid w:val="27FA3C0E"/>
    <w:rsid w:val="27FC7B2E"/>
    <w:rsid w:val="28176422"/>
    <w:rsid w:val="28491939"/>
    <w:rsid w:val="286C7A9B"/>
    <w:rsid w:val="28963FCC"/>
    <w:rsid w:val="28A4093D"/>
    <w:rsid w:val="28DC0F94"/>
    <w:rsid w:val="28E44C0E"/>
    <w:rsid w:val="28EE4234"/>
    <w:rsid w:val="29405A90"/>
    <w:rsid w:val="294D6827"/>
    <w:rsid w:val="29556D30"/>
    <w:rsid w:val="296C2904"/>
    <w:rsid w:val="297A769B"/>
    <w:rsid w:val="297D24ED"/>
    <w:rsid w:val="2A397ADB"/>
    <w:rsid w:val="2A4C4C2F"/>
    <w:rsid w:val="2A606694"/>
    <w:rsid w:val="2AA96A88"/>
    <w:rsid w:val="2AAB580F"/>
    <w:rsid w:val="2AE049E4"/>
    <w:rsid w:val="2AE5622F"/>
    <w:rsid w:val="2B446A01"/>
    <w:rsid w:val="2B4D4B8C"/>
    <w:rsid w:val="2B4F6DA7"/>
    <w:rsid w:val="2B5F65B7"/>
    <w:rsid w:val="2B6A23CA"/>
    <w:rsid w:val="2B7A135F"/>
    <w:rsid w:val="2B9F73A1"/>
    <w:rsid w:val="2BBF4052"/>
    <w:rsid w:val="2BD001FB"/>
    <w:rsid w:val="2BD51A79"/>
    <w:rsid w:val="2BF94F98"/>
    <w:rsid w:val="2C182420"/>
    <w:rsid w:val="2C4A0180"/>
    <w:rsid w:val="2C647B1E"/>
    <w:rsid w:val="2C837613"/>
    <w:rsid w:val="2CB4110C"/>
    <w:rsid w:val="2CBE73BD"/>
    <w:rsid w:val="2D1114CA"/>
    <w:rsid w:val="2D5E607D"/>
    <w:rsid w:val="2D7A0295"/>
    <w:rsid w:val="2DC0019C"/>
    <w:rsid w:val="2DD3094E"/>
    <w:rsid w:val="2DDB48E5"/>
    <w:rsid w:val="2DE10854"/>
    <w:rsid w:val="2DF45694"/>
    <w:rsid w:val="2E496F7F"/>
    <w:rsid w:val="2E810933"/>
    <w:rsid w:val="2EAE5D7A"/>
    <w:rsid w:val="2EAE6CA3"/>
    <w:rsid w:val="2EB91DEF"/>
    <w:rsid w:val="2EBC5FD5"/>
    <w:rsid w:val="2ED9174C"/>
    <w:rsid w:val="2F155D01"/>
    <w:rsid w:val="2F35161A"/>
    <w:rsid w:val="2F600CC5"/>
    <w:rsid w:val="2F604549"/>
    <w:rsid w:val="2FB749AA"/>
    <w:rsid w:val="2FD00080"/>
    <w:rsid w:val="2FD031C8"/>
    <w:rsid w:val="2FD67A0A"/>
    <w:rsid w:val="30052AD8"/>
    <w:rsid w:val="30172D3B"/>
    <w:rsid w:val="3024585B"/>
    <w:rsid w:val="303D06B3"/>
    <w:rsid w:val="304D19B4"/>
    <w:rsid w:val="30C90297"/>
    <w:rsid w:val="30FC45CB"/>
    <w:rsid w:val="3123681E"/>
    <w:rsid w:val="314B4B4B"/>
    <w:rsid w:val="316D340E"/>
    <w:rsid w:val="317B5B3D"/>
    <w:rsid w:val="31B15DF8"/>
    <w:rsid w:val="31B72565"/>
    <w:rsid w:val="31D6618E"/>
    <w:rsid w:val="31EE0600"/>
    <w:rsid w:val="31FB45E9"/>
    <w:rsid w:val="31FD4E11"/>
    <w:rsid w:val="3204479C"/>
    <w:rsid w:val="320D1CE6"/>
    <w:rsid w:val="32286157"/>
    <w:rsid w:val="32354F6B"/>
    <w:rsid w:val="32406B7F"/>
    <w:rsid w:val="32560D23"/>
    <w:rsid w:val="32A61DA7"/>
    <w:rsid w:val="32B36721"/>
    <w:rsid w:val="32B427C6"/>
    <w:rsid w:val="32B43E83"/>
    <w:rsid w:val="32B85EC3"/>
    <w:rsid w:val="32BD4F66"/>
    <w:rsid w:val="32D009ED"/>
    <w:rsid w:val="32DF589B"/>
    <w:rsid w:val="3307264C"/>
    <w:rsid w:val="332D2530"/>
    <w:rsid w:val="336C2A69"/>
    <w:rsid w:val="337201F6"/>
    <w:rsid w:val="33797919"/>
    <w:rsid w:val="33B55521"/>
    <w:rsid w:val="33E050FA"/>
    <w:rsid w:val="33E4497D"/>
    <w:rsid w:val="33F36253"/>
    <w:rsid w:val="33F474F9"/>
    <w:rsid w:val="341D288D"/>
    <w:rsid w:val="34481D4A"/>
    <w:rsid w:val="344B18D6"/>
    <w:rsid w:val="3486371A"/>
    <w:rsid w:val="34C8247F"/>
    <w:rsid w:val="34C92009"/>
    <w:rsid w:val="34CD1EA6"/>
    <w:rsid w:val="34CF4A7F"/>
    <w:rsid w:val="351C27B0"/>
    <w:rsid w:val="35341E00"/>
    <w:rsid w:val="354202AB"/>
    <w:rsid w:val="354624D6"/>
    <w:rsid w:val="354D2F7F"/>
    <w:rsid w:val="35570DD6"/>
    <w:rsid w:val="355D41B7"/>
    <w:rsid w:val="358F2AEF"/>
    <w:rsid w:val="35977EFB"/>
    <w:rsid w:val="35A6556C"/>
    <w:rsid w:val="35AE3166"/>
    <w:rsid w:val="35D81414"/>
    <w:rsid w:val="35E2714C"/>
    <w:rsid w:val="35FF0475"/>
    <w:rsid w:val="362E0F76"/>
    <w:rsid w:val="36331BE3"/>
    <w:rsid w:val="36625046"/>
    <w:rsid w:val="36813FAE"/>
    <w:rsid w:val="36854599"/>
    <w:rsid w:val="36882D07"/>
    <w:rsid w:val="36977A9E"/>
    <w:rsid w:val="36DB4D0F"/>
    <w:rsid w:val="375B0AE1"/>
    <w:rsid w:val="37857396"/>
    <w:rsid w:val="37AC650C"/>
    <w:rsid w:val="37B77B75"/>
    <w:rsid w:val="37BA40B2"/>
    <w:rsid w:val="37C2272F"/>
    <w:rsid w:val="37F82C38"/>
    <w:rsid w:val="387C0BB8"/>
    <w:rsid w:val="388B11D3"/>
    <w:rsid w:val="38DB2DD1"/>
    <w:rsid w:val="38DD71B9"/>
    <w:rsid w:val="390E5F29"/>
    <w:rsid w:val="3911492F"/>
    <w:rsid w:val="392016C6"/>
    <w:rsid w:val="39644874"/>
    <w:rsid w:val="396B5AB0"/>
    <w:rsid w:val="39D26F6B"/>
    <w:rsid w:val="39E06281"/>
    <w:rsid w:val="39EA7169"/>
    <w:rsid w:val="39F3395E"/>
    <w:rsid w:val="3A0177D1"/>
    <w:rsid w:val="3A1F37E7"/>
    <w:rsid w:val="3A5D10CE"/>
    <w:rsid w:val="3A8B53B9"/>
    <w:rsid w:val="3A8C1C1D"/>
    <w:rsid w:val="3AA852D0"/>
    <w:rsid w:val="3ADD4E9F"/>
    <w:rsid w:val="3AEA295B"/>
    <w:rsid w:val="3B181156"/>
    <w:rsid w:val="3B253A17"/>
    <w:rsid w:val="3B2F7BB2"/>
    <w:rsid w:val="3B3404D5"/>
    <w:rsid w:val="3B58138A"/>
    <w:rsid w:val="3B6C6D0D"/>
    <w:rsid w:val="3B7B1FE2"/>
    <w:rsid w:val="3B821506"/>
    <w:rsid w:val="3B9236C9"/>
    <w:rsid w:val="3BBF3364"/>
    <w:rsid w:val="3BC25BB5"/>
    <w:rsid w:val="3BEB75DB"/>
    <w:rsid w:val="3BF1518F"/>
    <w:rsid w:val="3C173922"/>
    <w:rsid w:val="3C574EBF"/>
    <w:rsid w:val="3C5D0E9D"/>
    <w:rsid w:val="3CB73588"/>
    <w:rsid w:val="3CE27D8E"/>
    <w:rsid w:val="3CEE5629"/>
    <w:rsid w:val="3D6B67D2"/>
    <w:rsid w:val="3D6B7EA7"/>
    <w:rsid w:val="3D7878E7"/>
    <w:rsid w:val="3D7E79F1"/>
    <w:rsid w:val="3D90570D"/>
    <w:rsid w:val="3D906D0B"/>
    <w:rsid w:val="3DCC6348"/>
    <w:rsid w:val="3DF03371"/>
    <w:rsid w:val="3E1E65BB"/>
    <w:rsid w:val="3E47428B"/>
    <w:rsid w:val="3E510FFD"/>
    <w:rsid w:val="3EC30088"/>
    <w:rsid w:val="3EC821FE"/>
    <w:rsid w:val="3EF3432F"/>
    <w:rsid w:val="3EFC3C28"/>
    <w:rsid w:val="3FAC745B"/>
    <w:rsid w:val="3FC76631"/>
    <w:rsid w:val="3FD8434D"/>
    <w:rsid w:val="3FE64B26"/>
    <w:rsid w:val="3FED758E"/>
    <w:rsid w:val="3FEF3F72"/>
    <w:rsid w:val="3FF66D39"/>
    <w:rsid w:val="40054C90"/>
    <w:rsid w:val="40126108"/>
    <w:rsid w:val="402823B4"/>
    <w:rsid w:val="4037567F"/>
    <w:rsid w:val="403D6D58"/>
    <w:rsid w:val="40C2026A"/>
    <w:rsid w:val="40F167F2"/>
    <w:rsid w:val="40F9120E"/>
    <w:rsid w:val="41167C4C"/>
    <w:rsid w:val="411B20D4"/>
    <w:rsid w:val="411C36E0"/>
    <w:rsid w:val="41233179"/>
    <w:rsid w:val="412B3CFA"/>
    <w:rsid w:val="413D6362"/>
    <w:rsid w:val="417B01BD"/>
    <w:rsid w:val="41A43156"/>
    <w:rsid w:val="41B03F53"/>
    <w:rsid w:val="41F36A1E"/>
    <w:rsid w:val="41F768C6"/>
    <w:rsid w:val="42385B8C"/>
    <w:rsid w:val="423B458D"/>
    <w:rsid w:val="424D72D5"/>
    <w:rsid w:val="424F72D2"/>
    <w:rsid w:val="42642FF3"/>
    <w:rsid w:val="42764C16"/>
    <w:rsid w:val="42770B7A"/>
    <w:rsid w:val="42A47AA8"/>
    <w:rsid w:val="42C27294"/>
    <w:rsid w:val="42C95EA0"/>
    <w:rsid w:val="43107404"/>
    <w:rsid w:val="432A0EB2"/>
    <w:rsid w:val="43384C18"/>
    <w:rsid w:val="435D6CE3"/>
    <w:rsid w:val="43852BEC"/>
    <w:rsid w:val="43972C6E"/>
    <w:rsid w:val="43A6660D"/>
    <w:rsid w:val="43C43532"/>
    <w:rsid w:val="43E715F4"/>
    <w:rsid w:val="43E73A53"/>
    <w:rsid w:val="442E075E"/>
    <w:rsid w:val="44A65E8A"/>
    <w:rsid w:val="44B57AC9"/>
    <w:rsid w:val="44B7644A"/>
    <w:rsid w:val="44CC0C37"/>
    <w:rsid w:val="44D86AA0"/>
    <w:rsid w:val="45007B43"/>
    <w:rsid w:val="45240FFC"/>
    <w:rsid w:val="45300811"/>
    <w:rsid w:val="45396441"/>
    <w:rsid w:val="4549123C"/>
    <w:rsid w:val="454A343A"/>
    <w:rsid w:val="45644B1A"/>
    <w:rsid w:val="456815F5"/>
    <w:rsid w:val="45693CEF"/>
    <w:rsid w:val="45950036"/>
    <w:rsid w:val="45A40CBE"/>
    <w:rsid w:val="45AD286C"/>
    <w:rsid w:val="461F3FED"/>
    <w:rsid w:val="46CB2631"/>
    <w:rsid w:val="4720144A"/>
    <w:rsid w:val="47420066"/>
    <w:rsid w:val="47907EFF"/>
    <w:rsid w:val="47986502"/>
    <w:rsid w:val="47D06003"/>
    <w:rsid w:val="47D73519"/>
    <w:rsid w:val="47E95008"/>
    <w:rsid w:val="47ED3A0E"/>
    <w:rsid w:val="48181F2B"/>
    <w:rsid w:val="482038EE"/>
    <w:rsid w:val="482D3338"/>
    <w:rsid w:val="484B2B65"/>
    <w:rsid w:val="48716770"/>
    <w:rsid w:val="487552CE"/>
    <w:rsid w:val="487E0D7E"/>
    <w:rsid w:val="48824DB2"/>
    <w:rsid w:val="48850709"/>
    <w:rsid w:val="48D574A0"/>
    <w:rsid w:val="490C7F41"/>
    <w:rsid w:val="49183383"/>
    <w:rsid w:val="49276041"/>
    <w:rsid w:val="492D7B06"/>
    <w:rsid w:val="493F65A3"/>
    <w:rsid w:val="498D56B8"/>
    <w:rsid w:val="49B37AF6"/>
    <w:rsid w:val="4A054302"/>
    <w:rsid w:val="4A3600D0"/>
    <w:rsid w:val="4A506A7B"/>
    <w:rsid w:val="4A9500E9"/>
    <w:rsid w:val="4AAF6A94"/>
    <w:rsid w:val="4AE8715F"/>
    <w:rsid w:val="4B064F25"/>
    <w:rsid w:val="4B0A55CE"/>
    <w:rsid w:val="4B1B3BC5"/>
    <w:rsid w:val="4B3A447A"/>
    <w:rsid w:val="4B3C1B7C"/>
    <w:rsid w:val="4B3D75FD"/>
    <w:rsid w:val="4B4F0A7C"/>
    <w:rsid w:val="4BA018A0"/>
    <w:rsid w:val="4BD503F2"/>
    <w:rsid w:val="4BDC3C83"/>
    <w:rsid w:val="4BF103A5"/>
    <w:rsid w:val="4C146064"/>
    <w:rsid w:val="4C1C4A6D"/>
    <w:rsid w:val="4C58104F"/>
    <w:rsid w:val="4C5A2767"/>
    <w:rsid w:val="4C7121B0"/>
    <w:rsid w:val="4C7664F6"/>
    <w:rsid w:val="4C8F1529"/>
    <w:rsid w:val="4C900601"/>
    <w:rsid w:val="4CB37BEF"/>
    <w:rsid w:val="4CBB5870"/>
    <w:rsid w:val="4CE0222C"/>
    <w:rsid w:val="4D2C26AC"/>
    <w:rsid w:val="4D2F3D3E"/>
    <w:rsid w:val="4D567C6D"/>
    <w:rsid w:val="4D5B1B76"/>
    <w:rsid w:val="4DC360A2"/>
    <w:rsid w:val="4DD642A7"/>
    <w:rsid w:val="4E000105"/>
    <w:rsid w:val="4E626EA5"/>
    <w:rsid w:val="4E686A9A"/>
    <w:rsid w:val="4E932EF7"/>
    <w:rsid w:val="4EBE0A49"/>
    <w:rsid w:val="4F1137C6"/>
    <w:rsid w:val="4F15062C"/>
    <w:rsid w:val="4F314742"/>
    <w:rsid w:val="4F3628FD"/>
    <w:rsid w:val="4F5222C9"/>
    <w:rsid w:val="4F5370FE"/>
    <w:rsid w:val="4F866815"/>
    <w:rsid w:val="4F8B568E"/>
    <w:rsid w:val="4F963A1F"/>
    <w:rsid w:val="4FC27D66"/>
    <w:rsid w:val="4FC5795A"/>
    <w:rsid w:val="4FEF16FA"/>
    <w:rsid w:val="500B21FA"/>
    <w:rsid w:val="50182CF3"/>
    <w:rsid w:val="503D1A91"/>
    <w:rsid w:val="504C354E"/>
    <w:rsid w:val="505718DF"/>
    <w:rsid w:val="505E58ED"/>
    <w:rsid w:val="5075175C"/>
    <w:rsid w:val="50802CC6"/>
    <w:rsid w:val="508B6BD0"/>
    <w:rsid w:val="50B00B2B"/>
    <w:rsid w:val="51C90C2B"/>
    <w:rsid w:val="51EB78F4"/>
    <w:rsid w:val="51F54112"/>
    <w:rsid w:val="524A5592"/>
    <w:rsid w:val="524B7790"/>
    <w:rsid w:val="524D0EAB"/>
    <w:rsid w:val="52501699"/>
    <w:rsid w:val="52611934"/>
    <w:rsid w:val="528E6F80"/>
    <w:rsid w:val="52971681"/>
    <w:rsid w:val="529F0A72"/>
    <w:rsid w:val="52BF2FD2"/>
    <w:rsid w:val="52D13A64"/>
    <w:rsid w:val="53220A15"/>
    <w:rsid w:val="536757CC"/>
    <w:rsid w:val="5393682D"/>
    <w:rsid w:val="53994EB3"/>
    <w:rsid w:val="53DC7658"/>
    <w:rsid w:val="53F72CCF"/>
    <w:rsid w:val="53FD4BD8"/>
    <w:rsid w:val="5415227F"/>
    <w:rsid w:val="54327630"/>
    <w:rsid w:val="5441050A"/>
    <w:rsid w:val="54571DEF"/>
    <w:rsid w:val="545F50E7"/>
    <w:rsid w:val="54660D84"/>
    <w:rsid w:val="549119E3"/>
    <w:rsid w:val="54A35BFD"/>
    <w:rsid w:val="54B32912"/>
    <w:rsid w:val="553C7AE3"/>
    <w:rsid w:val="55401D6C"/>
    <w:rsid w:val="557D24CD"/>
    <w:rsid w:val="55C01586"/>
    <w:rsid w:val="55E46C68"/>
    <w:rsid w:val="55FF4536"/>
    <w:rsid w:val="56186810"/>
    <w:rsid w:val="56291CEA"/>
    <w:rsid w:val="56432893"/>
    <w:rsid w:val="564C0FA5"/>
    <w:rsid w:val="566C3476"/>
    <w:rsid w:val="566E754A"/>
    <w:rsid w:val="56933917"/>
    <w:rsid w:val="56D733EB"/>
    <w:rsid w:val="56E15C15"/>
    <w:rsid w:val="56E26F1A"/>
    <w:rsid w:val="571E2DED"/>
    <w:rsid w:val="573C2AAB"/>
    <w:rsid w:val="576077E8"/>
    <w:rsid w:val="579767CB"/>
    <w:rsid w:val="57990C47"/>
    <w:rsid w:val="57AE4CCA"/>
    <w:rsid w:val="58343CE0"/>
    <w:rsid w:val="584B7B57"/>
    <w:rsid w:val="585338F8"/>
    <w:rsid w:val="58554E41"/>
    <w:rsid w:val="5860242F"/>
    <w:rsid w:val="58A827A5"/>
    <w:rsid w:val="58D418C8"/>
    <w:rsid w:val="58E33BCB"/>
    <w:rsid w:val="590545EB"/>
    <w:rsid w:val="59602104"/>
    <w:rsid w:val="59660D3D"/>
    <w:rsid w:val="597823D6"/>
    <w:rsid w:val="597E4463"/>
    <w:rsid w:val="598037EE"/>
    <w:rsid w:val="5981408A"/>
    <w:rsid w:val="59B6770B"/>
    <w:rsid w:val="59DA6041"/>
    <w:rsid w:val="59EF33E8"/>
    <w:rsid w:val="59F34FD7"/>
    <w:rsid w:val="59F93C29"/>
    <w:rsid w:val="5A2075B3"/>
    <w:rsid w:val="5A4056A2"/>
    <w:rsid w:val="5A750FF4"/>
    <w:rsid w:val="5A8239BA"/>
    <w:rsid w:val="5AA8506E"/>
    <w:rsid w:val="5AC07B11"/>
    <w:rsid w:val="5AEE543B"/>
    <w:rsid w:val="5AF143F7"/>
    <w:rsid w:val="5B160B7D"/>
    <w:rsid w:val="5B180231"/>
    <w:rsid w:val="5B434EB7"/>
    <w:rsid w:val="5B4E481E"/>
    <w:rsid w:val="5B702511"/>
    <w:rsid w:val="5B8A693E"/>
    <w:rsid w:val="5BC53AE0"/>
    <w:rsid w:val="5BC914C1"/>
    <w:rsid w:val="5C054F32"/>
    <w:rsid w:val="5C0A270F"/>
    <w:rsid w:val="5C132532"/>
    <w:rsid w:val="5C2667BC"/>
    <w:rsid w:val="5C5C254A"/>
    <w:rsid w:val="5CA5038F"/>
    <w:rsid w:val="5CBB4C63"/>
    <w:rsid w:val="5CBB6CB0"/>
    <w:rsid w:val="5CE7687A"/>
    <w:rsid w:val="5CF701E0"/>
    <w:rsid w:val="5D1A6F72"/>
    <w:rsid w:val="5D233327"/>
    <w:rsid w:val="5D2641A2"/>
    <w:rsid w:val="5D3046F0"/>
    <w:rsid w:val="5D6F3BF4"/>
    <w:rsid w:val="5D7E61FA"/>
    <w:rsid w:val="5D9558F0"/>
    <w:rsid w:val="5DA14A9F"/>
    <w:rsid w:val="5DB217C6"/>
    <w:rsid w:val="5DB86A77"/>
    <w:rsid w:val="5DBD55D9"/>
    <w:rsid w:val="5DD84907"/>
    <w:rsid w:val="5DEF3C61"/>
    <w:rsid w:val="5DF81F3B"/>
    <w:rsid w:val="5E1A7EF1"/>
    <w:rsid w:val="5E237C82"/>
    <w:rsid w:val="5E316D0E"/>
    <w:rsid w:val="5E693542"/>
    <w:rsid w:val="5E7F1E13"/>
    <w:rsid w:val="5EB25E3B"/>
    <w:rsid w:val="5ED67133"/>
    <w:rsid w:val="5ED73AF1"/>
    <w:rsid w:val="5EE24E48"/>
    <w:rsid w:val="5F15360C"/>
    <w:rsid w:val="5F184590"/>
    <w:rsid w:val="5F384354"/>
    <w:rsid w:val="5F387044"/>
    <w:rsid w:val="5F3B5A4A"/>
    <w:rsid w:val="5F802EF2"/>
    <w:rsid w:val="5F844F44"/>
    <w:rsid w:val="5F8638C6"/>
    <w:rsid w:val="5F9D006D"/>
    <w:rsid w:val="5FB6252B"/>
    <w:rsid w:val="5FB8549D"/>
    <w:rsid w:val="5FC06E8E"/>
    <w:rsid w:val="603E7BF6"/>
    <w:rsid w:val="60425F76"/>
    <w:rsid w:val="606A7932"/>
    <w:rsid w:val="6079073C"/>
    <w:rsid w:val="60AA7B7C"/>
    <w:rsid w:val="60BB7AA7"/>
    <w:rsid w:val="60C95EDB"/>
    <w:rsid w:val="60D43C94"/>
    <w:rsid w:val="60D57B29"/>
    <w:rsid w:val="61343606"/>
    <w:rsid w:val="6137458B"/>
    <w:rsid w:val="614E7A33"/>
    <w:rsid w:val="61704DFF"/>
    <w:rsid w:val="61A11A3C"/>
    <w:rsid w:val="61E821B0"/>
    <w:rsid w:val="61EE62B8"/>
    <w:rsid w:val="61F36C48"/>
    <w:rsid w:val="61F636C4"/>
    <w:rsid w:val="61FD68D2"/>
    <w:rsid w:val="620713E0"/>
    <w:rsid w:val="621A0401"/>
    <w:rsid w:val="625B34DE"/>
    <w:rsid w:val="62652435"/>
    <w:rsid w:val="62734B78"/>
    <w:rsid w:val="627363AA"/>
    <w:rsid w:val="62926AC5"/>
    <w:rsid w:val="629C7113"/>
    <w:rsid w:val="62CC4613"/>
    <w:rsid w:val="62E4334D"/>
    <w:rsid w:val="62FB4480"/>
    <w:rsid w:val="63164E21"/>
    <w:rsid w:val="63311016"/>
    <w:rsid w:val="6350047D"/>
    <w:rsid w:val="63545AEB"/>
    <w:rsid w:val="63573D6D"/>
    <w:rsid w:val="636A138E"/>
    <w:rsid w:val="6378681C"/>
    <w:rsid w:val="638B6FDE"/>
    <w:rsid w:val="639C2AFB"/>
    <w:rsid w:val="63A04BBE"/>
    <w:rsid w:val="63B45B14"/>
    <w:rsid w:val="63C7091D"/>
    <w:rsid w:val="63C77EDB"/>
    <w:rsid w:val="63CD78B2"/>
    <w:rsid w:val="63EE62B6"/>
    <w:rsid w:val="63F61651"/>
    <w:rsid w:val="641A7B46"/>
    <w:rsid w:val="64457A91"/>
    <w:rsid w:val="647C3F3E"/>
    <w:rsid w:val="64821AF4"/>
    <w:rsid w:val="64A010A4"/>
    <w:rsid w:val="64A553FB"/>
    <w:rsid w:val="64AE2533"/>
    <w:rsid w:val="64C37BDC"/>
    <w:rsid w:val="64F266A2"/>
    <w:rsid w:val="64F3614E"/>
    <w:rsid w:val="65017D1B"/>
    <w:rsid w:val="65147874"/>
    <w:rsid w:val="652D418B"/>
    <w:rsid w:val="65EF44AD"/>
    <w:rsid w:val="660E5B28"/>
    <w:rsid w:val="661063E7"/>
    <w:rsid w:val="662774FD"/>
    <w:rsid w:val="66333A39"/>
    <w:rsid w:val="663A0E45"/>
    <w:rsid w:val="66555272"/>
    <w:rsid w:val="66570776"/>
    <w:rsid w:val="667B76B0"/>
    <w:rsid w:val="6683050B"/>
    <w:rsid w:val="6691761F"/>
    <w:rsid w:val="66A717F9"/>
    <w:rsid w:val="66BE361D"/>
    <w:rsid w:val="670D6C1F"/>
    <w:rsid w:val="672B583B"/>
    <w:rsid w:val="67432AD2"/>
    <w:rsid w:val="676C02BE"/>
    <w:rsid w:val="67980D82"/>
    <w:rsid w:val="67CD6582"/>
    <w:rsid w:val="67DD1876"/>
    <w:rsid w:val="681A623E"/>
    <w:rsid w:val="68430E58"/>
    <w:rsid w:val="685A1D39"/>
    <w:rsid w:val="68644FD2"/>
    <w:rsid w:val="68675EC9"/>
    <w:rsid w:val="68714846"/>
    <w:rsid w:val="688012D7"/>
    <w:rsid w:val="68AF5FA5"/>
    <w:rsid w:val="68D11D83"/>
    <w:rsid w:val="68F10FC5"/>
    <w:rsid w:val="68FC366B"/>
    <w:rsid w:val="69054B5C"/>
    <w:rsid w:val="6944683F"/>
    <w:rsid w:val="69490D88"/>
    <w:rsid w:val="699975CE"/>
    <w:rsid w:val="69A93FE5"/>
    <w:rsid w:val="69D1730F"/>
    <w:rsid w:val="69E44D0F"/>
    <w:rsid w:val="69FC4A4E"/>
    <w:rsid w:val="69FF49F3"/>
    <w:rsid w:val="6A130CD7"/>
    <w:rsid w:val="6A2B2EBE"/>
    <w:rsid w:val="6A4F59D6"/>
    <w:rsid w:val="6A864EE2"/>
    <w:rsid w:val="6A8A79DF"/>
    <w:rsid w:val="6A925C48"/>
    <w:rsid w:val="6A9D5B77"/>
    <w:rsid w:val="6AC542F1"/>
    <w:rsid w:val="6ADB2BCF"/>
    <w:rsid w:val="6AED49D5"/>
    <w:rsid w:val="6B085226"/>
    <w:rsid w:val="6B0E20DD"/>
    <w:rsid w:val="6B1E6014"/>
    <w:rsid w:val="6B2F760B"/>
    <w:rsid w:val="6B3A694A"/>
    <w:rsid w:val="6B452B0C"/>
    <w:rsid w:val="6B4D7070"/>
    <w:rsid w:val="6B546B21"/>
    <w:rsid w:val="6B5A17AD"/>
    <w:rsid w:val="6B9F713E"/>
    <w:rsid w:val="6BA8152C"/>
    <w:rsid w:val="6BAD59B4"/>
    <w:rsid w:val="6BBE52E8"/>
    <w:rsid w:val="6BCA25A6"/>
    <w:rsid w:val="6BCE7CCD"/>
    <w:rsid w:val="6BD650CC"/>
    <w:rsid w:val="6BE62696"/>
    <w:rsid w:val="6BF22C25"/>
    <w:rsid w:val="6C0A7EB8"/>
    <w:rsid w:val="6C390E1B"/>
    <w:rsid w:val="6C4A72F6"/>
    <w:rsid w:val="6C5459FF"/>
    <w:rsid w:val="6C6C4AED"/>
    <w:rsid w:val="6C75260E"/>
    <w:rsid w:val="6C837F96"/>
    <w:rsid w:val="6C88002E"/>
    <w:rsid w:val="6C9D0B3F"/>
    <w:rsid w:val="6CAE465D"/>
    <w:rsid w:val="6CB01869"/>
    <w:rsid w:val="6CB36922"/>
    <w:rsid w:val="6D0C3F95"/>
    <w:rsid w:val="6D2E2805"/>
    <w:rsid w:val="6D44403A"/>
    <w:rsid w:val="6D535DD6"/>
    <w:rsid w:val="6D6B0293"/>
    <w:rsid w:val="6D724457"/>
    <w:rsid w:val="6DA46F1D"/>
    <w:rsid w:val="6DC87031"/>
    <w:rsid w:val="6DF56B72"/>
    <w:rsid w:val="6E4B1B00"/>
    <w:rsid w:val="6E9161ED"/>
    <w:rsid w:val="6E9F158A"/>
    <w:rsid w:val="6EA32411"/>
    <w:rsid w:val="6EAA539C"/>
    <w:rsid w:val="6EE90704"/>
    <w:rsid w:val="6EF21AA0"/>
    <w:rsid w:val="6F080748"/>
    <w:rsid w:val="6F364F80"/>
    <w:rsid w:val="6F53759C"/>
    <w:rsid w:val="6F5943EF"/>
    <w:rsid w:val="6F7073AD"/>
    <w:rsid w:val="6FD0490B"/>
    <w:rsid w:val="6FE2091C"/>
    <w:rsid w:val="6FF73BD8"/>
    <w:rsid w:val="706459F2"/>
    <w:rsid w:val="706C0DE9"/>
    <w:rsid w:val="70863CCD"/>
    <w:rsid w:val="709B394E"/>
    <w:rsid w:val="70A05857"/>
    <w:rsid w:val="70C93198"/>
    <w:rsid w:val="70DA5631"/>
    <w:rsid w:val="70EC3F3B"/>
    <w:rsid w:val="70F80646"/>
    <w:rsid w:val="71167A14"/>
    <w:rsid w:val="718F25AD"/>
    <w:rsid w:val="71C805F9"/>
    <w:rsid w:val="71D970E1"/>
    <w:rsid w:val="71E91C14"/>
    <w:rsid w:val="720B343A"/>
    <w:rsid w:val="724A25D7"/>
    <w:rsid w:val="72A417A5"/>
    <w:rsid w:val="72C5775B"/>
    <w:rsid w:val="72CE5ACF"/>
    <w:rsid w:val="72D20C05"/>
    <w:rsid w:val="72DF3719"/>
    <w:rsid w:val="72E942E2"/>
    <w:rsid w:val="72EE4ACC"/>
    <w:rsid w:val="72F2352A"/>
    <w:rsid w:val="72FD3138"/>
    <w:rsid w:val="7315670F"/>
    <w:rsid w:val="731C3F78"/>
    <w:rsid w:val="732F1389"/>
    <w:rsid w:val="73344A98"/>
    <w:rsid w:val="73812405"/>
    <w:rsid w:val="73870310"/>
    <w:rsid w:val="73927DA8"/>
    <w:rsid w:val="73DD27A6"/>
    <w:rsid w:val="741449BE"/>
    <w:rsid w:val="743A0F86"/>
    <w:rsid w:val="74504CE3"/>
    <w:rsid w:val="746016FA"/>
    <w:rsid w:val="74864CF9"/>
    <w:rsid w:val="74B936AB"/>
    <w:rsid w:val="74BE7D5F"/>
    <w:rsid w:val="75360459"/>
    <w:rsid w:val="7588411C"/>
    <w:rsid w:val="75B42E91"/>
    <w:rsid w:val="75CD63EC"/>
    <w:rsid w:val="75D82B18"/>
    <w:rsid w:val="76417A12"/>
    <w:rsid w:val="769900A0"/>
    <w:rsid w:val="76A601DF"/>
    <w:rsid w:val="76B963D7"/>
    <w:rsid w:val="76C8076B"/>
    <w:rsid w:val="76C9096D"/>
    <w:rsid w:val="76CB0A8A"/>
    <w:rsid w:val="76D46C00"/>
    <w:rsid w:val="76F06D63"/>
    <w:rsid w:val="770F1364"/>
    <w:rsid w:val="77245A86"/>
    <w:rsid w:val="773D503E"/>
    <w:rsid w:val="77677682"/>
    <w:rsid w:val="77796881"/>
    <w:rsid w:val="777D45A1"/>
    <w:rsid w:val="77920469"/>
    <w:rsid w:val="77AC46E5"/>
    <w:rsid w:val="77AD34DE"/>
    <w:rsid w:val="77B11365"/>
    <w:rsid w:val="77BC009F"/>
    <w:rsid w:val="77C70B12"/>
    <w:rsid w:val="77EE44FD"/>
    <w:rsid w:val="78121E8B"/>
    <w:rsid w:val="781E48DF"/>
    <w:rsid w:val="78407DED"/>
    <w:rsid w:val="7871563D"/>
    <w:rsid w:val="788F2693"/>
    <w:rsid w:val="78902BEB"/>
    <w:rsid w:val="789F293B"/>
    <w:rsid w:val="78A33979"/>
    <w:rsid w:val="78AB180D"/>
    <w:rsid w:val="78C738B6"/>
    <w:rsid w:val="78CD47BD"/>
    <w:rsid w:val="78E00BE8"/>
    <w:rsid w:val="78FA281E"/>
    <w:rsid w:val="790B2EA9"/>
    <w:rsid w:val="792A06CF"/>
    <w:rsid w:val="792D35BC"/>
    <w:rsid w:val="79481F08"/>
    <w:rsid w:val="7967617F"/>
    <w:rsid w:val="798752DB"/>
    <w:rsid w:val="798806F9"/>
    <w:rsid w:val="79A70E2D"/>
    <w:rsid w:val="79AB41AB"/>
    <w:rsid w:val="79B160B4"/>
    <w:rsid w:val="79B835CF"/>
    <w:rsid w:val="79F91D2C"/>
    <w:rsid w:val="7A101951"/>
    <w:rsid w:val="7A3F6A24"/>
    <w:rsid w:val="7A4F26D7"/>
    <w:rsid w:val="7A755B2F"/>
    <w:rsid w:val="7A7B1C58"/>
    <w:rsid w:val="7A9C0FDC"/>
    <w:rsid w:val="7A9C5898"/>
    <w:rsid w:val="7AA2234E"/>
    <w:rsid w:val="7AA75347"/>
    <w:rsid w:val="7AE55383"/>
    <w:rsid w:val="7B0321DE"/>
    <w:rsid w:val="7B3F3CC0"/>
    <w:rsid w:val="7B51102C"/>
    <w:rsid w:val="7B8E1DC2"/>
    <w:rsid w:val="7B963D9A"/>
    <w:rsid w:val="7BAC7174"/>
    <w:rsid w:val="7BB70840"/>
    <w:rsid w:val="7BC71022"/>
    <w:rsid w:val="7BCA41A5"/>
    <w:rsid w:val="7BCB4BEA"/>
    <w:rsid w:val="7BCF3607"/>
    <w:rsid w:val="7C0175AA"/>
    <w:rsid w:val="7C0C3C88"/>
    <w:rsid w:val="7C4F2411"/>
    <w:rsid w:val="7C6565A2"/>
    <w:rsid w:val="7C6D7232"/>
    <w:rsid w:val="7C8E2FEA"/>
    <w:rsid w:val="7CE227BF"/>
    <w:rsid w:val="7CED7CB2"/>
    <w:rsid w:val="7D042C28"/>
    <w:rsid w:val="7D066BB5"/>
    <w:rsid w:val="7D1731A8"/>
    <w:rsid w:val="7D294D92"/>
    <w:rsid w:val="7D421016"/>
    <w:rsid w:val="7D5F6F1C"/>
    <w:rsid w:val="7D7B0414"/>
    <w:rsid w:val="7D82638B"/>
    <w:rsid w:val="7D927405"/>
    <w:rsid w:val="7DA41E66"/>
    <w:rsid w:val="7DC43066"/>
    <w:rsid w:val="7DC80593"/>
    <w:rsid w:val="7DCD2CA6"/>
    <w:rsid w:val="7DF134AB"/>
    <w:rsid w:val="7DFB1EBB"/>
    <w:rsid w:val="7E310E70"/>
    <w:rsid w:val="7E385636"/>
    <w:rsid w:val="7E3A5214"/>
    <w:rsid w:val="7E477DBC"/>
    <w:rsid w:val="7E512C50"/>
    <w:rsid w:val="7E822517"/>
    <w:rsid w:val="7EA54DC7"/>
    <w:rsid w:val="7EA832D9"/>
    <w:rsid w:val="7ECF1FD6"/>
    <w:rsid w:val="7EF43758"/>
    <w:rsid w:val="7EF67AE6"/>
    <w:rsid w:val="7F04016F"/>
    <w:rsid w:val="7F0E4302"/>
    <w:rsid w:val="7F3311E1"/>
    <w:rsid w:val="7F390520"/>
    <w:rsid w:val="7F7A0D1C"/>
    <w:rsid w:val="7F7A5DC1"/>
    <w:rsid w:val="7F8D6DCF"/>
    <w:rsid w:val="7FA07E6B"/>
    <w:rsid w:val="7FCC30AC"/>
    <w:rsid w:val="7FDE3356"/>
    <w:rsid w:val="7FF3539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iPriority="0" w:semiHidden="0" w:name="index 3"/>
    <w:lsdException w:qFormat="1" w:uiPriority="0" w:semiHidden="0" w:name="index 4"/>
    <w:lsdException w:qFormat="1" w:uiPriority="0" w:semiHidden="0" w:name="index 5"/>
    <w:lsdException w:qFormat="1" w:uiPriority="0" w:semiHidden="0" w:name="index 6"/>
    <w:lsdException w:qFormat="1" w:uiPriority="0" w:semiHidden="0" w:name="index 7"/>
    <w:lsdException w:qFormat="1" w:uiPriority="0" w:semiHidden="0" w:name="index 8"/>
    <w:lsdException w:qFormat="1"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0" w:semiHidden="0" w:name="index heading"/>
    <w:lsdException w:qFormat="1" w:uiPriority="0" w:semiHidden="0" w:name="caption"/>
    <w:lsdException w:qFormat="1" w:uiPriority="0" w:semiHidden="0" w:name="table of figures"/>
    <w:lsdException w:qFormat="1" w:uiPriority="0" w:semiHidden="0" w:name="envelope address"/>
    <w:lsdException w:qFormat="1"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iPriority="0" w:semiHidden="0" w:name="endnote text"/>
    <w:lsdException w:qFormat="1" w:uiPriority="0" w:semiHidden="0" w:name="table of authorities"/>
    <w:lsdException w:qFormat="1" w:uiPriority="0" w:semiHidden="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semiHidden="0" w:name="List Number 3"/>
    <w:lsdException w:qFormat="1" w:uiPriority="0" w:semiHidden="0" w:name="List Number 4"/>
    <w:lsdException w:qFormat="1" w:uiPriority="0" w:semiHidden="0" w:name="List Number 5"/>
    <w:lsdException w:qFormat="1" w:unhideWhenUsed="0" w:uiPriority="0" w:semiHidden="0" w:name="Title"/>
    <w:lsdException w:qFormat="1" w:uiPriority="0" w:semiHidden="0" w:name="Closing"/>
    <w:lsdException w:qFormat="1" w:uiPriority="0" w:semiHidden="0" w:name="Signature"/>
    <w:lsdException w:uiPriority="1" w:name="Default Paragraph Font"/>
    <w:lsdException w:qFormat="1" w:uiPriority="0" w:semiHidden="0" w:name="Body Text"/>
    <w:lsdException w:qFormat="1" w:uiPriority="0" w:semiHidden="0" w:name="Body Text Indent"/>
    <w:lsdException w:qFormat="1" w:uiPriority="0" w:semiHidden="0" w:name="List Continue"/>
    <w:lsdException w:qFormat="1" w:uiPriority="0" w:semiHidden="0" w:name="List Continue 2"/>
    <w:lsdException w:qFormat="1" w:uiPriority="0" w:semiHidden="0" w:name="List Continue 3"/>
    <w:lsdException w:qFormat="1" w:uiPriority="0" w:semiHidden="0" w:name="List Continue 4"/>
    <w:lsdException w:qFormat="1" w:uiPriority="0" w:semiHidden="0" w:name="List Continue 5"/>
    <w:lsdException w:qFormat="1"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qFormat="1" w:uiPriority="0" w:semiHidden="0" w:name="Note Heading"/>
    <w:lsdException w:qFormat="1" w:uiPriority="0" w:semiHidden="0" w:name="Body Text 2"/>
    <w:lsdException w:qFormat="1" w:uiPriority="0" w:semiHidden="0" w:name="Body Text 3"/>
    <w:lsdException w:qFormat="1" w:uiPriority="0" w:semiHidden="0" w:name="Body Text Indent 2"/>
    <w:lsdException w:qFormat="1" w:uiPriority="0" w:semiHidden="0" w:name="Body Text Indent 3"/>
    <w:lsdException w:qFormat="1"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0" w:semiHidden="0" w:name="Plain Text"/>
    <w:lsdException w:qFormat="1" w:uiPriority="0" w:semiHidden="0" w:name="E-mail Signature"/>
    <w:lsdException w:qFormat="1" w:uiPriority="0" w:semiHidden="0" w:name="Normal (Web)"/>
    <w:lsdException w:uiPriority="0" w:name="HTML Acronym"/>
    <w:lsdException w:qFormat="1" w:uiPriority="0" w:semiHidden="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200"/>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85"/>
    <w:qFormat/>
    <w:uiPriority w:val="0"/>
    <w:pPr>
      <w:pBdr>
        <w:top w:val="none" w:color="auto" w:sz="0" w:space="0"/>
      </w:pBdr>
      <w:spacing w:before="180"/>
      <w:outlineLvl w:val="1"/>
    </w:pPr>
    <w:rPr>
      <w:sz w:val="32"/>
    </w:rPr>
  </w:style>
  <w:style w:type="paragraph" w:styleId="5">
    <w:name w:val="heading 3"/>
    <w:basedOn w:val="4"/>
    <w:next w:val="1"/>
    <w:link w:val="194"/>
    <w:qFormat/>
    <w:uiPriority w:val="0"/>
    <w:pPr>
      <w:spacing w:before="120"/>
      <w:outlineLvl w:val="2"/>
    </w:pPr>
    <w:rPr>
      <w:sz w:val="28"/>
    </w:rPr>
  </w:style>
  <w:style w:type="paragraph" w:styleId="6">
    <w:name w:val="heading 4"/>
    <w:basedOn w:val="5"/>
    <w:next w:val="1"/>
    <w:link w:val="181"/>
    <w:qFormat/>
    <w:uiPriority w:val="0"/>
    <w:pPr>
      <w:ind w:left="1418" w:hanging="1418"/>
      <w:outlineLvl w:val="3"/>
    </w:pPr>
    <w:rPr>
      <w:sz w:val="24"/>
    </w:rPr>
  </w:style>
  <w:style w:type="paragraph" w:styleId="7">
    <w:name w:val="heading 5"/>
    <w:basedOn w:val="6"/>
    <w:next w:val="1"/>
    <w:link w:val="187"/>
    <w:qFormat/>
    <w:uiPriority w:val="0"/>
    <w:pPr>
      <w:ind w:left="1701" w:hanging="1701"/>
      <w:outlineLvl w:val="4"/>
    </w:pPr>
    <w:rPr>
      <w:sz w:val="22"/>
    </w:rPr>
  </w:style>
  <w:style w:type="paragraph" w:styleId="8">
    <w:name w:val="heading 6"/>
    <w:basedOn w:val="9"/>
    <w:next w:val="1"/>
    <w:link w:val="213"/>
    <w:qFormat/>
    <w:uiPriority w:val="0"/>
    <w:pPr>
      <w:outlineLvl w:val="5"/>
    </w:pPr>
  </w:style>
  <w:style w:type="paragraph" w:styleId="10">
    <w:name w:val="heading 7"/>
    <w:basedOn w:val="9"/>
    <w:next w:val="1"/>
    <w:link w:val="214"/>
    <w:qFormat/>
    <w:uiPriority w:val="0"/>
    <w:pPr>
      <w:outlineLvl w:val="6"/>
    </w:pPr>
  </w:style>
  <w:style w:type="paragraph" w:styleId="11">
    <w:name w:val="heading 8"/>
    <w:basedOn w:val="3"/>
    <w:next w:val="1"/>
    <w:link w:val="186"/>
    <w:qFormat/>
    <w:uiPriority w:val="0"/>
    <w:pPr>
      <w:ind w:left="0" w:firstLine="0"/>
      <w:outlineLvl w:val="7"/>
    </w:pPr>
  </w:style>
  <w:style w:type="paragraph" w:styleId="12">
    <w:name w:val="heading 9"/>
    <w:basedOn w:val="11"/>
    <w:next w:val="1"/>
    <w:link w:val="215"/>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50"/>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宋体" w:cs="Times New Roman"/>
      <w:lang w:val="en-GB" w:eastAsia="en-US" w:bidi="ar-SA"/>
    </w:rPr>
  </w:style>
  <w:style w:type="paragraph" w:customStyle="1" w:styleId="9">
    <w:name w:val="H6"/>
    <w:basedOn w:val="7"/>
    <w:next w:val="1"/>
    <w:link w:val="20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unhideWhenUsed/>
    <w:qFormat/>
    <w:uiPriority w:val="0"/>
    <w:pPr>
      <w:spacing w:after="0"/>
      <w:ind w:left="200" w:hanging="200"/>
    </w:pPr>
  </w:style>
  <w:style w:type="paragraph" w:styleId="26">
    <w:name w:val="Note Heading"/>
    <w:basedOn w:val="1"/>
    <w:next w:val="1"/>
    <w:link w:val="153"/>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unhideWhenUsed/>
    <w:qFormat/>
    <w:uiPriority w:val="0"/>
    <w:pPr>
      <w:spacing w:after="0"/>
      <w:ind w:left="1600" w:hanging="200"/>
    </w:pPr>
  </w:style>
  <w:style w:type="paragraph" w:styleId="32">
    <w:name w:val="E-mail Signature"/>
    <w:basedOn w:val="1"/>
    <w:link w:val="143"/>
    <w:unhideWhenUsed/>
    <w:qFormat/>
    <w:uiPriority w:val="0"/>
    <w:pPr>
      <w:spacing w:after="0"/>
    </w:pPr>
  </w:style>
  <w:style w:type="paragraph" w:styleId="33">
    <w:name w:val="Normal Indent"/>
    <w:basedOn w:val="1"/>
    <w:unhideWhenUsed/>
    <w:qFormat/>
    <w:uiPriority w:val="0"/>
    <w:pPr>
      <w:ind w:left="720"/>
    </w:pPr>
  </w:style>
  <w:style w:type="paragraph" w:styleId="34">
    <w:name w:val="caption"/>
    <w:basedOn w:val="1"/>
    <w:next w:val="1"/>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unhideWhenUsed/>
    <w:qFormat/>
    <w:uiPriority w:val="0"/>
    <w:pPr>
      <w:spacing w:after="0"/>
      <w:ind w:left="1000" w:hanging="200"/>
    </w:pPr>
  </w:style>
  <w:style w:type="paragraph" w:styleId="36">
    <w:name w:val="envelope address"/>
    <w:basedOn w:val="1"/>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84"/>
    <w:qFormat/>
    <w:uiPriority w:val="0"/>
    <w:pPr>
      <w:shd w:val="clear" w:color="auto" w:fill="000080"/>
    </w:pPr>
    <w:rPr>
      <w:rFonts w:ascii="Tahoma" w:hAnsi="Tahoma" w:cs="Tahoma"/>
    </w:rPr>
  </w:style>
  <w:style w:type="paragraph" w:styleId="38">
    <w:name w:val="toa heading"/>
    <w:basedOn w:val="1"/>
    <w:next w:val="1"/>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90"/>
    <w:qFormat/>
    <w:uiPriority w:val="0"/>
  </w:style>
  <w:style w:type="paragraph" w:styleId="40">
    <w:name w:val="index 6"/>
    <w:basedOn w:val="1"/>
    <w:next w:val="1"/>
    <w:unhideWhenUsed/>
    <w:qFormat/>
    <w:uiPriority w:val="0"/>
    <w:pPr>
      <w:spacing w:after="0"/>
      <w:ind w:left="1200" w:hanging="200"/>
    </w:pPr>
  </w:style>
  <w:style w:type="paragraph" w:styleId="41">
    <w:name w:val="Salutation"/>
    <w:basedOn w:val="1"/>
    <w:next w:val="1"/>
    <w:link w:val="157"/>
    <w:qFormat/>
    <w:uiPriority w:val="0"/>
  </w:style>
  <w:style w:type="paragraph" w:styleId="42">
    <w:name w:val="Body Text 3"/>
    <w:basedOn w:val="1"/>
    <w:link w:val="135"/>
    <w:unhideWhenUsed/>
    <w:qFormat/>
    <w:uiPriority w:val="0"/>
    <w:pPr>
      <w:spacing w:after="120"/>
    </w:pPr>
    <w:rPr>
      <w:sz w:val="16"/>
      <w:szCs w:val="16"/>
    </w:rPr>
  </w:style>
  <w:style w:type="paragraph" w:styleId="43">
    <w:name w:val="Closing"/>
    <w:basedOn w:val="1"/>
    <w:link w:val="141"/>
    <w:unhideWhenUsed/>
    <w:qFormat/>
    <w:uiPriority w:val="0"/>
    <w:pPr>
      <w:spacing w:after="0"/>
      <w:ind w:left="4252"/>
    </w:pPr>
  </w:style>
  <w:style w:type="paragraph" w:styleId="44">
    <w:name w:val="Body Text"/>
    <w:basedOn w:val="1"/>
    <w:link w:val="133"/>
    <w:unhideWhenUsed/>
    <w:qFormat/>
    <w:uiPriority w:val="0"/>
    <w:pPr>
      <w:spacing w:after="120"/>
    </w:pPr>
  </w:style>
  <w:style w:type="paragraph" w:styleId="45">
    <w:name w:val="Body Text Indent"/>
    <w:basedOn w:val="1"/>
    <w:link w:val="137"/>
    <w:unhideWhenUsed/>
    <w:qFormat/>
    <w:uiPriority w:val="0"/>
    <w:pPr>
      <w:spacing w:after="120"/>
      <w:ind w:left="283"/>
    </w:pPr>
  </w:style>
  <w:style w:type="paragraph" w:styleId="46">
    <w:name w:val="List Number 3"/>
    <w:basedOn w:val="1"/>
    <w:unhideWhenUsed/>
    <w:qFormat/>
    <w:uiPriority w:val="0"/>
    <w:pPr>
      <w:numPr>
        <w:ilvl w:val="0"/>
        <w:numId w:val="1"/>
      </w:numPr>
      <w:contextualSpacing/>
    </w:pPr>
  </w:style>
  <w:style w:type="paragraph" w:styleId="47">
    <w:name w:val="List Continue"/>
    <w:basedOn w:val="1"/>
    <w:unhideWhenUsed/>
    <w:qFormat/>
    <w:uiPriority w:val="0"/>
    <w:pPr>
      <w:spacing w:after="120"/>
      <w:ind w:left="283"/>
      <w:contextualSpacing/>
    </w:pPr>
  </w:style>
  <w:style w:type="paragraph" w:styleId="48">
    <w:name w:val="Block Text"/>
    <w:basedOn w:val="1"/>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5"/>
    <w:unhideWhenUsed/>
    <w:qFormat/>
    <w:uiPriority w:val="0"/>
    <w:pPr>
      <w:spacing w:after="0"/>
    </w:pPr>
    <w:rPr>
      <w:i/>
      <w:iCs/>
    </w:rPr>
  </w:style>
  <w:style w:type="paragraph" w:styleId="50">
    <w:name w:val="index 4"/>
    <w:basedOn w:val="1"/>
    <w:next w:val="1"/>
    <w:unhideWhenUsed/>
    <w:qFormat/>
    <w:uiPriority w:val="0"/>
    <w:pPr>
      <w:spacing w:after="0"/>
      <w:ind w:left="800" w:hanging="200"/>
    </w:pPr>
  </w:style>
  <w:style w:type="paragraph" w:styleId="51">
    <w:name w:val="Plain Text"/>
    <w:basedOn w:val="1"/>
    <w:link w:val="154"/>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unhideWhenUsed/>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unhideWhenUsed/>
    <w:qFormat/>
    <w:uiPriority w:val="0"/>
    <w:pPr>
      <w:spacing w:after="0"/>
      <w:ind w:left="600" w:hanging="200"/>
    </w:pPr>
  </w:style>
  <w:style w:type="paragraph" w:styleId="56">
    <w:name w:val="Date"/>
    <w:basedOn w:val="1"/>
    <w:next w:val="1"/>
    <w:link w:val="142"/>
    <w:qFormat/>
    <w:uiPriority w:val="0"/>
  </w:style>
  <w:style w:type="paragraph" w:styleId="57">
    <w:name w:val="Body Text Indent 2"/>
    <w:basedOn w:val="1"/>
    <w:link w:val="139"/>
    <w:unhideWhenUsed/>
    <w:qFormat/>
    <w:uiPriority w:val="0"/>
    <w:pPr>
      <w:spacing w:after="120" w:line="480" w:lineRule="auto"/>
      <w:ind w:left="283"/>
    </w:pPr>
  </w:style>
  <w:style w:type="paragraph" w:styleId="58">
    <w:name w:val="endnote text"/>
    <w:basedOn w:val="1"/>
    <w:link w:val="144"/>
    <w:unhideWhenUsed/>
    <w:qFormat/>
    <w:uiPriority w:val="0"/>
    <w:pPr>
      <w:spacing w:after="0"/>
    </w:pPr>
  </w:style>
  <w:style w:type="paragraph" w:styleId="59">
    <w:name w:val="List Continue 5"/>
    <w:basedOn w:val="1"/>
    <w:unhideWhenUsed/>
    <w:qFormat/>
    <w:uiPriority w:val="0"/>
    <w:pPr>
      <w:spacing w:after="120"/>
      <w:ind w:left="1415"/>
      <w:contextualSpacing/>
    </w:pPr>
  </w:style>
  <w:style w:type="paragraph" w:styleId="60">
    <w:name w:val="Balloon Text"/>
    <w:basedOn w:val="1"/>
    <w:link w:val="167"/>
    <w:qFormat/>
    <w:uiPriority w:val="0"/>
    <w:rPr>
      <w:rFonts w:ascii="Tahoma" w:hAnsi="Tahoma" w:cs="Tahoma"/>
      <w:sz w:val="16"/>
      <w:szCs w:val="16"/>
    </w:rPr>
  </w:style>
  <w:style w:type="paragraph" w:styleId="61">
    <w:name w:val="footer"/>
    <w:basedOn w:val="62"/>
    <w:link w:val="205"/>
    <w:qFormat/>
    <w:uiPriority w:val="0"/>
    <w:pPr>
      <w:jc w:val="center"/>
    </w:pPr>
    <w:rPr>
      <w:i/>
    </w:rPr>
  </w:style>
  <w:style w:type="paragraph" w:styleId="62">
    <w:name w:val="header"/>
    <w:link w:val="216"/>
    <w:qFormat/>
    <w:uiPriority w:val="0"/>
    <w:pPr>
      <w:widowControl w:val="0"/>
    </w:pPr>
    <w:rPr>
      <w:rFonts w:ascii="Arial" w:hAnsi="Arial" w:eastAsia="宋体" w:cs="Times New Roman"/>
      <w:b/>
      <w:sz w:val="18"/>
      <w:lang w:val="en-GB" w:eastAsia="en-US" w:bidi="ar-SA"/>
    </w:rPr>
  </w:style>
  <w:style w:type="paragraph" w:styleId="63">
    <w:name w:val="envelope return"/>
    <w:basedOn w:val="1"/>
    <w:unhideWhenUsed/>
    <w:qFormat/>
    <w:uiPriority w:val="0"/>
    <w:pPr>
      <w:spacing w:after="0"/>
    </w:pPr>
    <w:rPr>
      <w:rFonts w:asciiTheme="majorHAnsi" w:hAnsiTheme="majorHAnsi" w:eastAsiaTheme="majorEastAsia" w:cstheme="majorBidi"/>
    </w:rPr>
  </w:style>
  <w:style w:type="paragraph" w:styleId="64">
    <w:name w:val="Signature"/>
    <w:basedOn w:val="1"/>
    <w:link w:val="158"/>
    <w:unhideWhenUsed/>
    <w:qFormat/>
    <w:uiPriority w:val="0"/>
    <w:pPr>
      <w:spacing w:after="0"/>
      <w:ind w:left="4252"/>
    </w:pPr>
  </w:style>
  <w:style w:type="paragraph" w:styleId="65">
    <w:name w:val="List Continue 4"/>
    <w:basedOn w:val="1"/>
    <w:unhideWhenUsed/>
    <w:qFormat/>
    <w:uiPriority w:val="0"/>
    <w:pPr>
      <w:spacing w:after="120"/>
      <w:ind w:left="1132"/>
      <w:contextualSpacing/>
    </w:pPr>
  </w:style>
  <w:style w:type="paragraph" w:styleId="66">
    <w:name w:val="index heading"/>
    <w:basedOn w:val="1"/>
    <w:next w:val="67"/>
    <w:unhideWhenUsed/>
    <w:qFormat/>
    <w:uiPriority w:val="0"/>
    <w:rPr>
      <w:rFonts w:asciiTheme="majorHAnsi" w:hAnsiTheme="majorHAnsi" w:eastAsiaTheme="majorEastAsia" w:cstheme="majorBidi"/>
      <w:b/>
      <w:bCs/>
    </w:rPr>
  </w:style>
  <w:style w:type="paragraph" w:styleId="67">
    <w:name w:val="index 1"/>
    <w:basedOn w:val="1"/>
    <w:next w:val="1"/>
    <w:qFormat/>
    <w:uiPriority w:val="0"/>
    <w:pPr>
      <w:keepLines/>
      <w:spacing w:after="0"/>
    </w:pPr>
  </w:style>
  <w:style w:type="paragraph" w:styleId="68">
    <w:name w:val="Subtitle"/>
    <w:basedOn w:val="1"/>
    <w:next w:val="1"/>
    <w:link w:val="159"/>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unhideWhenUsed/>
    <w:qFormat/>
    <w:uiPriority w:val="0"/>
    <w:pPr>
      <w:numPr>
        <w:ilvl w:val="0"/>
        <w:numId w:val="3"/>
      </w:numPr>
      <w:contextualSpacing/>
    </w:pPr>
  </w:style>
  <w:style w:type="paragraph" w:styleId="70">
    <w:name w:val="footnote text"/>
    <w:basedOn w:val="1"/>
    <w:link w:val="192"/>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0"/>
    <w:unhideWhenUsed/>
    <w:qFormat/>
    <w:uiPriority w:val="0"/>
    <w:pPr>
      <w:spacing w:after="120"/>
      <w:ind w:left="283"/>
    </w:pPr>
    <w:rPr>
      <w:sz w:val="16"/>
      <w:szCs w:val="16"/>
    </w:rPr>
  </w:style>
  <w:style w:type="paragraph" w:styleId="74">
    <w:name w:val="index 7"/>
    <w:basedOn w:val="1"/>
    <w:next w:val="1"/>
    <w:unhideWhenUsed/>
    <w:qFormat/>
    <w:uiPriority w:val="0"/>
    <w:pPr>
      <w:spacing w:after="0"/>
      <w:ind w:left="1400" w:hanging="200"/>
    </w:pPr>
  </w:style>
  <w:style w:type="paragraph" w:styleId="75">
    <w:name w:val="index 9"/>
    <w:basedOn w:val="1"/>
    <w:next w:val="1"/>
    <w:unhideWhenUsed/>
    <w:qFormat/>
    <w:uiPriority w:val="0"/>
    <w:pPr>
      <w:spacing w:after="0"/>
      <w:ind w:left="1800" w:hanging="200"/>
    </w:pPr>
  </w:style>
  <w:style w:type="paragraph" w:styleId="76">
    <w:name w:val="table of figures"/>
    <w:basedOn w:val="1"/>
    <w:next w:val="1"/>
    <w:unhideWhenUsed/>
    <w:qFormat/>
    <w:uiPriority w:val="0"/>
    <w:pPr>
      <w:spacing w:after="0"/>
    </w:pPr>
  </w:style>
  <w:style w:type="paragraph" w:styleId="77">
    <w:name w:val="toc 9"/>
    <w:basedOn w:val="54"/>
    <w:next w:val="1"/>
    <w:qFormat/>
    <w:uiPriority w:val="39"/>
    <w:pPr>
      <w:ind w:left="1418" w:hanging="1418"/>
    </w:pPr>
  </w:style>
  <w:style w:type="paragraph" w:styleId="78">
    <w:name w:val="Body Text 2"/>
    <w:basedOn w:val="1"/>
    <w:link w:val="134"/>
    <w:unhideWhenUsed/>
    <w:qFormat/>
    <w:uiPriority w:val="0"/>
    <w:pPr>
      <w:spacing w:after="120" w:line="480" w:lineRule="auto"/>
    </w:pPr>
  </w:style>
  <w:style w:type="paragraph" w:styleId="79">
    <w:name w:val="List Continue 2"/>
    <w:basedOn w:val="1"/>
    <w:unhideWhenUsed/>
    <w:qFormat/>
    <w:uiPriority w:val="0"/>
    <w:pPr>
      <w:spacing w:after="120"/>
      <w:ind w:left="566"/>
      <w:contextualSpacing/>
    </w:pPr>
  </w:style>
  <w:style w:type="paragraph" w:styleId="80">
    <w:name w:val="Message Header"/>
    <w:basedOn w:val="1"/>
    <w:link w:val="151"/>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6"/>
    <w:unhideWhenUsed/>
    <w:qFormat/>
    <w:uiPriority w:val="0"/>
    <w:pPr>
      <w:spacing w:after="0"/>
    </w:pPr>
    <w:rPr>
      <w:rFonts w:ascii="Consolas" w:hAnsi="Consolas"/>
    </w:rPr>
  </w:style>
  <w:style w:type="paragraph" w:styleId="82">
    <w:name w:val="Normal (Web)"/>
    <w:basedOn w:val="1"/>
    <w:unhideWhenUsed/>
    <w:qFormat/>
    <w:uiPriority w:val="0"/>
    <w:rPr>
      <w:sz w:val="24"/>
      <w:szCs w:val="24"/>
    </w:rPr>
  </w:style>
  <w:style w:type="paragraph" w:styleId="83">
    <w:name w:val="List Continue 3"/>
    <w:basedOn w:val="1"/>
    <w:unhideWhenUsed/>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160"/>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91"/>
    <w:qFormat/>
    <w:uiPriority w:val="0"/>
    <w:rPr>
      <w:b/>
      <w:bCs/>
    </w:rPr>
  </w:style>
  <w:style w:type="paragraph" w:styleId="87">
    <w:name w:val="Body Text First Indent"/>
    <w:basedOn w:val="44"/>
    <w:link w:val="136"/>
    <w:qFormat/>
    <w:uiPriority w:val="0"/>
    <w:pPr>
      <w:spacing w:after="180"/>
      <w:ind w:firstLine="360"/>
    </w:pPr>
  </w:style>
  <w:style w:type="paragraph" w:styleId="88">
    <w:name w:val="Body Text First Indent 2"/>
    <w:basedOn w:val="45"/>
    <w:link w:val="138"/>
    <w:unhideWhenUsed/>
    <w:qFormat/>
    <w:uiPriority w:val="0"/>
    <w:pPr>
      <w:spacing w:after="180"/>
      <w:ind w:left="360" w:firstLine="360"/>
    </w:pPr>
  </w:style>
  <w:style w:type="table" w:styleId="90">
    <w:name w:val="Table Grid"/>
    <w:basedOn w:val="89"/>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qFormat/>
    <w:uiPriority w:val="0"/>
    <w:rPr>
      <w:b/>
      <w:bCs/>
    </w:rPr>
  </w:style>
  <w:style w:type="character" w:styleId="93">
    <w:name w:val="FollowedHyperlink"/>
    <w:qFormat/>
    <w:uiPriority w:val="0"/>
    <w:rPr>
      <w:color w:val="800080"/>
      <w:u w:val="single"/>
    </w:rPr>
  </w:style>
  <w:style w:type="character" w:styleId="94">
    <w:name w:val="Hyperlink"/>
    <w:qFormat/>
    <w:uiPriority w:val="0"/>
    <w:rPr>
      <w:color w:val="0000FF"/>
      <w:u w:val="single"/>
    </w:rPr>
  </w:style>
  <w:style w:type="character" w:styleId="95">
    <w:name w:val="annotation reference"/>
    <w:qFormat/>
    <w:uiPriority w:val="0"/>
    <w:rPr>
      <w:sz w:val="16"/>
    </w:rPr>
  </w:style>
  <w:style w:type="character" w:styleId="96">
    <w:name w:val="footnote reference"/>
    <w:qFormat/>
    <w:uiPriority w:val="0"/>
    <w:rPr>
      <w:b/>
      <w:position w:val="6"/>
      <w:sz w:val="16"/>
    </w:rPr>
  </w:style>
  <w:style w:type="paragraph" w:customStyle="1" w:styleId="9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9">
    <w:name w:val="TT"/>
    <w:basedOn w:val="3"/>
    <w:next w:val="1"/>
    <w:qFormat/>
    <w:uiPriority w:val="0"/>
    <w:pPr>
      <w:outlineLvl w:val="9"/>
    </w:pPr>
  </w:style>
  <w:style w:type="paragraph" w:customStyle="1" w:styleId="100">
    <w:name w:val="TAH"/>
    <w:basedOn w:val="101"/>
    <w:link w:val="177"/>
    <w:qFormat/>
    <w:uiPriority w:val="0"/>
    <w:rPr>
      <w:b/>
    </w:rPr>
  </w:style>
  <w:style w:type="paragraph" w:customStyle="1" w:styleId="101">
    <w:name w:val="TAC"/>
    <w:basedOn w:val="102"/>
    <w:link w:val="180"/>
    <w:qFormat/>
    <w:uiPriority w:val="0"/>
    <w:pPr>
      <w:jc w:val="center"/>
    </w:pPr>
  </w:style>
  <w:style w:type="paragraph" w:customStyle="1" w:styleId="102">
    <w:name w:val="TAL"/>
    <w:basedOn w:val="1"/>
    <w:link w:val="176"/>
    <w:qFormat/>
    <w:uiPriority w:val="0"/>
    <w:pPr>
      <w:keepNext/>
      <w:keepLines/>
      <w:spacing w:after="0"/>
    </w:pPr>
    <w:rPr>
      <w:rFonts w:ascii="Arial" w:hAnsi="Arial"/>
      <w:sz w:val="18"/>
    </w:rPr>
  </w:style>
  <w:style w:type="paragraph" w:customStyle="1" w:styleId="103">
    <w:name w:val="TF"/>
    <w:basedOn w:val="104"/>
    <w:link w:val="193"/>
    <w:qFormat/>
    <w:uiPriority w:val="0"/>
    <w:pPr>
      <w:keepNext w:val="0"/>
      <w:spacing w:before="0" w:after="240"/>
    </w:pPr>
  </w:style>
  <w:style w:type="paragraph" w:customStyle="1" w:styleId="104">
    <w:name w:val="TH"/>
    <w:basedOn w:val="1"/>
    <w:link w:val="178"/>
    <w:qFormat/>
    <w:uiPriority w:val="0"/>
    <w:pPr>
      <w:keepNext/>
      <w:keepLines/>
      <w:spacing w:before="60"/>
      <w:jc w:val="center"/>
    </w:pPr>
    <w:rPr>
      <w:rFonts w:ascii="Arial" w:hAnsi="Arial"/>
      <w:b/>
    </w:rPr>
  </w:style>
  <w:style w:type="paragraph" w:customStyle="1" w:styleId="105">
    <w:name w:val="NO"/>
    <w:basedOn w:val="1"/>
    <w:link w:val="179"/>
    <w:qFormat/>
    <w:uiPriority w:val="0"/>
    <w:pPr>
      <w:keepLines/>
      <w:ind w:left="1135" w:hanging="851"/>
    </w:pPr>
  </w:style>
  <w:style w:type="paragraph" w:customStyle="1" w:styleId="106">
    <w:name w:val="EX"/>
    <w:basedOn w:val="1"/>
    <w:link w:val="169"/>
    <w:qFormat/>
    <w:uiPriority w:val="0"/>
    <w:pPr>
      <w:keepLines/>
      <w:ind w:left="1702" w:hanging="1418"/>
    </w:pPr>
  </w:style>
  <w:style w:type="paragraph" w:customStyle="1" w:styleId="107">
    <w:name w:val="FP"/>
    <w:basedOn w:val="1"/>
    <w:qFormat/>
    <w:uiPriority w:val="0"/>
    <w:pPr>
      <w:spacing w:after="0"/>
    </w:pPr>
  </w:style>
  <w:style w:type="paragraph" w:customStyle="1" w:styleId="108">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9">
    <w:name w:val="NW"/>
    <w:basedOn w:val="105"/>
    <w:qFormat/>
    <w:uiPriority w:val="0"/>
    <w:pPr>
      <w:spacing w:after="0"/>
    </w:pPr>
  </w:style>
  <w:style w:type="paragraph" w:customStyle="1" w:styleId="110">
    <w:name w:val="EW"/>
    <w:basedOn w:val="106"/>
    <w:link w:val="188"/>
    <w:qFormat/>
    <w:uiPriority w:val="0"/>
    <w:pPr>
      <w:spacing w:after="0"/>
    </w:pPr>
  </w:style>
  <w:style w:type="paragraph" w:customStyle="1" w:styleId="111">
    <w:name w:val="EQ"/>
    <w:basedOn w:val="1"/>
    <w:next w:val="1"/>
    <w:qFormat/>
    <w:uiPriority w:val="0"/>
    <w:pPr>
      <w:keepLines/>
      <w:tabs>
        <w:tab w:val="center" w:pos="4536"/>
        <w:tab w:val="right" w:pos="9072"/>
      </w:tabs>
    </w:pPr>
  </w:style>
  <w:style w:type="paragraph" w:customStyle="1" w:styleId="112">
    <w:name w:val="NF"/>
    <w:basedOn w:val="105"/>
    <w:qFormat/>
    <w:uiPriority w:val="0"/>
    <w:pPr>
      <w:keepNext/>
      <w:spacing w:after="0"/>
    </w:pPr>
    <w:rPr>
      <w:rFonts w:ascii="Arial" w:hAnsi="Arial"/>
      <w:sz w:val="18"/>
    </w:rPr>
  </w:style>
  <w:style w:type="paragraph" w:customStyle="1" w:styleId="113">
    <w:name w:val="PL"/>
    <w:link w:val="16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4">
    <w:name w:val="TAR"/>
    <w:basedOn w:val="102"/>
    <w:qFormat/>
    <w:uiPriority w:val="0"/>
    <w:pPr>
      <w:jc w:val="right"/>
    </w:pPr>
  </w:style>
  <w:style w:type="paragraph" w:customStyle="1" w:styleId="115">
    <w:name w:val="TAN"/>
    <w:basedOn w:val="102"/>
    <w:link w:val="183"/>
    <w:qFormat/>
    <w:uiPriority w:val="0"/>
    <w:pPr>
      <w:ind w:left="851" w:hanging="851"/>
    </w:pPr>
  </w:style>
  <w:style w:type="paragraph" w:customStyle="1" w:styleId="11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20">
    <w:name w:val="ZV"/>
    <w:basedOn w:val="119"/>
    <w:qFormat/>
    <w:uiPriority w:val="0"/>
    <w:pPr>
      <w:framePr w:y="16161"/>
    </w:pPr>
  </w:style>
  <w:style w:type="character" w:customStyle="1" w:styleId="121">
    <w:name w:val="ZGSM"/>
    <w:qFormat/>
    <w:uiPriority w:val="0"/>
  </w:style>
  <w:style w:type="paragraph" w:customStyle="1" w:styleId="12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3">
    <w:name w:val="Editor's Note"/>
    <w:basedOn w:val="105"/>
    <w:link w:val="189"/>
    <w:qFormat/>
    <w:uiPriority w:val="0"/>
    <w:rPr>
      <w:color w:val="FF0000"/>
    </w:rPr>
  </w:style>
  <w:style w:type="paragraph" w:customStyle="1" w:styleId="124">
    <w:name w:val="B1"/>
    <w:basedOn w:val="15"/>
    <w:link w:val="163"/>
    <w:qFormat/>
    <w:uiPriority w:val="0"/>
  </w:style>
  <w:style w:type="paragraph" w:customStyle="1" w:styleId="125">
    <w:name w:val="B2"/>
    <w:basedOn w:val="14"/>
    <w:link w:val="164"/>
    <w:qFormat/>
    <w:uiPriority w:val="0"/>
  </w:style>
  <w:style w:type="paragraph" w:customStyle="1" w:styleId="126">
    <w:name w:val="B3"/>
    <w:basedOn w:val="13"/>
    <w:link w:val="204"/>
    <w:qFormat/>
    <w:uiPriority w:val="0"/>
  </w:style>
  <w:style w:type="paragraph" w:customStyle="1" w:styleId="127">
    <w:name w:val="B4"/>
    <w:basedOn w:val="72"/>
    <w:qFormat/>
    <w:uiPriority w:val="0"/>
  </w:style>
  <w:style w:type="paragraph" w:customStyle="1" w:styleId="128">
    <w:name w:val="B5"/>
    <w:basedOn w:val="71"/>
    <w:qFormat/>
    <w:uiPriority w:val="0"/>
  </w:style>
  <w:style w:type="paragraph" w:customStyle="1" w:styleId="129">
    <w:name w:val="ZTD"/>
    <w:basedOn w:val="117"/>
    <w:qFormat/>
    <w:uiPriority w:val="0"/>
    <w:pPr>
      <w:framePr w:hRule="auto" w:y="852"/>
    </w:pPr>
    <w:rPr>
      <w:i w:val="0"/>
      <w:sz w:val="40"/>
    </w:rPr>
  </w:style>
  <w:style w:type="paragraph" w:customStyle="1" w:styleId="130">
    <w:name w:val="CR Cover Page"/>
    <w:link w:val="207"/>
    <w:qFormat/>
    <w:uiPriority w:val="0"/>
    <w:pPr>
      <w:spacing w:after="120"/>
    </w:pPr>
    <w:rPr>
      <w:rFonts w:ascii="Arial" w:hAnsi="Arial" w:eastAsia="宋体" w:cs="Times New Roman"/>
      <w:lang w:val="en-GB" w:eastAsia="en-US" w:bidi="ar-SA"/>
    </w:rPr>
  </w:style>
  <w:style w:type="paragraph" w:customStyle="1" w:styleId="131">
    <w:name w:val="tdoc-header"/>
    <w:qFormat/>
    <w:uiPriority w:val="0"/>
    <w:rPr>
      <w:rFonts w:ascii="Arial" w:hAnsi="Arial" w:eastAsia="宋体" w:cs="Times New Roman"/>
      <w:sz w:val="24"/>
      <w:lang w:val="en-GB" w:eastAsia="en-US" w:bidi="ar-SA"/>
    </w:rPr>
  </w:style>
  <w:style w:type="paragraph" w:customStyle="1" w:styleId="132">
    <w:name w:val="书目1"/>
    <w:basedOn w:val="1"/>
    <w:next w:val="1"/>
    <w:semiHidden/>
    <w:unhideWhenUsed/>
    <w:qFormat/>
    <w:uiPriority w:val="37"/>
  </w:style>
  <w:style w:type="character" w:customStyle="1" w:styleId="133">
    <w:name w:val="正文文本 字符"/>
    <w:basedOn w:val="91"/>
    <w:link w:val="44"/>
    <w:qFormat/>
    <w:uiPriority w:val="0"/>
    <w:rPr>
      <w:rFonts w:ascii="Times New Roman" w:hAnsi="Times New Roman"/>
      <w:lang w:val="en-GB" w:eastAsia="en-US"/>
    </w:rPr>
  </w:style>
  <w:style w:type="character" w:customStyle="1" w:styleId="134">
    <w:name w:val="正文文本 2 字符"/>
    <w:basedOn w:val="91"/>
    <w:link w:val="78"/>
    <w:qFormat/>
    <w:uiPriority w:val="0"/>
    <w:rPr>
      <w:rFonts w:ascii="Times New Roman" w:hAnsi="Times New Roman"/>
      <w:lang w:val="en-GB" w:eastAsia="en-US"/>
    </w:rPr>
  </w:style>
  <w:style w:type="character" w:customStyle="1" w:styleId="135">
    <w:name w:val="正文文本 3 字符"/>
    <w:basedOn w:val="91"/>
    <w:link w:val="42"/>
    <w:qFormat/>
    <w:uiPriority w:val="0"/>
    <w:rPr>
      <w:rFonts w:ascii="Times New Roman" w:hAnsi="Times New Roman"/>
      <w:sz w:val="16"/>
      <w:szCs w:val="16"/>
      <w:lang w:val="en-GB" w:eastAsia="en-US"/>
    </w:rPr>
  </w:style>
  <w:style w:type="character" w:customStyle="1" w:styleId="136">
    <w:name w:val="正文文本首行缩进 字符"/>
    <w:basedOn w:val="133"/>
    <w:link w:val="87"/>
    <w:qFormat/>
    <w:uiPriority w:val="0"/>
    <w:rPr>
      <w:rFonts w:ascii="Times New Roman" w:hAnsi="Times New Roman"/>
      <w:lang w:val="en-GB" w:eastAsia="en-US"/>
    </w:rPr>
  </w:style>
  <w:style w:type="character" w:customStyle="1" w:styleId="137">
    <w:name w:val="正文文本缩进 字符"/>
    <w:basedOn w:val="91"/>
    <w:link w:val="45"/>
    <w:qFormat/>
    <w:uiPriority w:val="0"/>
    <w:rPr>
      <w:rFonts w:ascii="Times New Roman" w:hAnsi="Times New Roman"/>
      <w:lang w:val="en-GB" w:eastAsia="en-US"/>
    </w:rPr>
  </w:style>
  <w:style w:type="character" w:customStyle="1" w:styleId="138">
    <w:name w:val="正文文本首行缩进 2 字符"/>
    <w:basedOn w:val="137"/>
    <w:link w:val="88"/>
    <w:qFormat/>
    <w:uiPriority w:val="0"/>
    <w:rPr>
      <w:rFonts w:ascii="Times New Roman" w:hAnsi="Times New Roman"/>
      <w:lang w:val="en-GB" w:eastAsia="en-US"/>
    </w:rPr>
  </w:style>
  <w:style w:type="character" w:customStyle="1" w:styleId="139">
    <w:name w:val="正文文本缩进 2 字符"/>
    <w:basedOn w:val="91"/>
    <w:link w:val="57"/>
    <w:qFormat/>
    <w:uiPriority w:val="0"/>
    <w:rPr>
      <w:rFonts w:ascii="Times New Roman" w:hAnsi="Times New Roman"/>
      <w:lang w:val="en-GB" w:eastAsia="en-US"/>
    </w:rPr>
  </w:style>
  <w:style w:type="character" w:customStyle="1" w:styleId="140">
    <w:name w:val="正文文本缩进 3 字符"/>
    <w:basedOn w:val="91"/>
    <w:link w:val="73"/>
    <w:qFormat/>
    <w:uiPriority w:val="0"/>
    <w:rPr>
      <w:rFonts w:ascii="Times New Roman" w:hAnsi="Times New Roman"/>
      <w:sz w:val="16"/>
      <w:szCs w:val="16"/>
      <w:lang w:val="en-GB" w:eastAsia="en-US"/>
    </w:rPr>
  </w:style>
  <w:style w:type="character" w:customStyle="1" w:styleId="141">
    <w:name w:val="结束语 字符"/>
    <w:basedOn w:val="91"/>
    <w:link w:val="43"/>
    <w:qFormat/>
    <w:uiPriority w:val="0"/>
    <w:rPr>
      <w:rFonts w:ascii="Times New Roman" w:hAnsi="Times New Roman"/>
      <w:lang w:val="en-GB" w:eastAsia="en-US"/>
    </w:rPr>
  </w:style>
  <w:style w:type="character" w:customStyle="1" w:styleId="142">
    <w:name w:val="日期 字符"/>
    <w:basedOn w:val="91"/>
    <w:link w:val="56"/>
    <w:qFormat/>
    <w:uiPriority w:val="0"/>
    <w:rPr>
      <w:rFonts w:ascii="Times New Roman" w:hAnsi="Times New Roman"/>
      <w:lang w:val="en-GB" w:eastAsia="en-US"/>
    </w:rPr>
  </w:style>
  <w:style w:type="character" w:customStyle="1" w:styleId="143">
    <w:name w:val="电子邮件签名 字符"/>
    <w:basedOn w:val="91"/>
    <w:link w:val="32"/>
    <w:qFormat/>
    <w:uiPriority w:val="0"/>
    <w:rPr>
      <w:rFonts w:ascii="Times New Roman" w:hAnsi="Times New Roman"/>
      <w:lang w:val="en-GB" w:eastAsia="en-US"/>
    </w:rPr>
  </w:style>
  <w:style w:type="character" w:customStyle="1" w:styleId="144">
    <w:name w:val="尾注文本 字符"/>
    <w:basedOn w:val="91"/>
    <w:link w:val="58"/>
    <w:qFormat/>
    <w:uiPriority w:val="0"/>
    <w:rPr>
      <w:rFonts w:ascii="Times New Roman" w:hAnsi="Times New Roman"/>
      <w:lang w:val="en-GB" w:eastAsia="en-US"/>
    </w:rPr>
  </w:style>
  <w:style w:type="character" w:customStyle="1" w:styleId="145">
    <w:name w:val="HTML 地址 字符"/>
    <w:basedOn w:val="91"/>
    <w:link w:val="49"/>
    <w:qFormat/>
    <w:uiPriority w:val="0"/>
    <w:rPr>
      <w:rFonts w:ascii="Times New Roman" w:hAnsi="Times New Roman"/>
      <w:i/>
      <w:iCs/>
      <w:lang w:val="en-GB" w:eastAsia="en-US"/>
    </w:rPr>
  </w:style>
  <w:style w:type="character" w:customStyle="1" w:styleId="146">
    <w:name w:val="HTML 预设格式 字符"/>
    <w:basedOn w:val="91"/>
    <w:link w:val="81"/>
    <w:qFormat/>
    <w:uiPriority w:val="0"/>
    <w:rPr>
      <w:rFonts w:ascii="Consolas" w:hAnsi="Consolas"/>
      <w:lang w:val="en-GB" w:eastAsia="en-US"/>
    </w:rPr>
  </w:style>
  <w:style w:type="paragraph" w:styleId="147">
    <w:name w:val="Intense Quote"/>
    <w:basedOn w:val="1"/>
    <w:next w:val="1"/>
    <w:link w:val="148"/>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8">
    <w:name w:val="明显引用 字符"/>
    <w:basedOn w:val="91"/>
    <w:link w:val="147"/>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9">
    <w:name w:val="List Paragraph"/>
    <w:basedOn w:val="1"/>
    <w:qFormat/>
    <w:uiPriority w:val="34"/>
    <w:pPr>
      <w:ind w:left="720"/>
      <w:contextualSpacing/>
    </w:pPr>
  </w:style>
  <w:style w:type="character" w:customStyle="1" w:styleId="150">
    <w:name w:val="宏文本 字符"/>
    <w:basedOn w:val="91"/>
    <w:link w:val="2"/>
    <w:qFormat/>
    <w:uiPriority w:val="0"/>
    <w:rPr>
      <w:rFonts w:ascii="Consolas" w:hAnsi="Consolas"/>
      <w:lang w:val="en-GB" w:eastAsia="en-US"/>
    </w:rPr>
  </w:style>
  <w:style w:type="character" w:customStyle="1" w:styleId="151">
    <w:name w:val="信息标题 字符"/>
    <w:basedOn w:val="91"/>
    <w:link w:val="80"/>
    <w:qFormat/>
    <w:uiPriority w:val="0"/>
    <w:rPr>
      <w:rFonts w:asciiTheme="majorHAnsi" w:hAnsiTheme="majorHAnsi" w:eastAsiaTheme="majorEastAsia" w:cstheme="majorBidi"/>
      <w:sz w:val="24"/>
      <w:szCs w:val="24"/>
      <w:shd w:val="pct20" w:color="auto" w:fill="auto"/>
      <w:lang w:val="en-GB" w:eastAsia="en-US"/>
    </w:rPr>
  </w:style>
  <w:style w:type="paragraph" w:styleId="152">
    <w:name w:val="No Spacing"/>
    <w:qFormat/>
    <w:uiPriority w:val="1"/>
    <w:rPr>
      <w:rFonts w:ascii="Times New Roman" w:hAnsi="Times New Roman" w:eastAsia="宋体" w:cs="Times New Roman"/>
      <w:lang w:val="en-GB" w:eastAsia="en-US" w:bidi="ar-SA"/>
    </w:rPr>
  </w:style>
  <w:style w:type="character" w:customStyle="1" w:styleId="153">
    <w:name w:val="注释标题 字符"/>
    <w:basedOn w:val="91"/>
    <w:link w:val="26"/>
    <w:qFormat/>
    <w:uiPriority w:val="0"/>
    <w:rPr>
      <w:rFonts w:ascii="Times New Roman" w:hAnsi="Times New Roman"/>
      <w:lang w:val="en-GB" w:eastAsia="en-US"/>
    </w:rPr>
  </w:style>
  <w:style w:type="character" w:customStyle="1" w:styleId="154">
    <w:name w:val="纯文本 字符"/>
    <w:basedOn w:val="91"/>
    <w:link w:val="51"/>
    <w:qFormat/>
    <w:uiPriority w:val="0"/>
    <w:rPr>
      <w:rFonts w:ascii="Consolas" w:hAnsi="Consolas"/>
      <w:sz w:val="21"/>
      <w:szCs w:val="21"/>
      <w:lang w:val="en-GB" w:eastAsia="en-US"/>
    </w:rPr>
  </w:style>
  <w:style w:type="paragraph" w:styleId="155">
    <w:name w:val="Quote"/>
    <w:basedOn w:val="1"/>
    <w:next w:val="1"/>
    <w:link w:val="156"/>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6">
    <w:name w:val="引用 字符"/>
    <w:basedOn w:val="91"/>
    <w:link w:val="155"/>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7">
    <w:name w:val="称呼 字符"/>
    <w:basedOn w:val="91"/>
    <w:link w:val="41"/>
    <w:qFormat/>
    <w:uiPriority w:val="0"/>
    <w:rPr>
      <w:rFonts w:ascii="Times New Roman" w:hAnsi="Times New Roman"/>
      <w:lang w:val="en-GB" w:eastAsia="en-US"/>
    </w:rPr>
  </w:style>
  <w:style w:type="character" w:customStyle="1" w:styleId="158">
    <w:name w:val="签名 字符"/>
    <w:basedOn w:val="91"/>
    <w:link w:val="64"/>
    <w:qFormat/>
    <w:uiPriority w:val="0"/>
    <w:rPr>
      <w:rFonts w:ascii="Times New Roman" w:hAnsi="Times New Roman"/>
      <w:lang w:val="en-GB" w:eastAsia="en-US"/>
    </w:rPr>
  </w:style>
  <w:style w:type="character" w:customStyle="1" w:styleId="159">
    <w:name w:val="副标题 字符"/>
    <w:basedOn w:val="91"/>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60">
    <w:name w:val="标题 字符"/>
    <w:basedOn w:val="91"/>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1">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character" w:customStyle="1" w:styleId="162">
    <w:name w:val="PL Char"/>
    <w:link w:val="113"/>
    <w:qFormat/>
    <w:locked/>
    <w:uiPriority w:val="0"/>
    <w:rPr>
      <w:rFonts w:ascii="Courier New" w:hAnsi="Courier New"/>
      <w:sz w:val="16"/>
      <w:lang w:val="en-GB" w:eastAsia="en-US"/>
    </w:rPr>
  </w:style>
  <w:style w:type="character" w:customStyle="1" w:styleId="163">
    <w:name w:val="B1 Char"/>
    <w:link w:val="124"/>
    <w:qFormat/>
    <w:uiPriority w:val="0"/>
    <w:rPr>
      <w:rFonts w:ascii="Times New Roman" w:hAnsi="Times New Roman"/>
      <w:lang w:val="en-GB" w:eastAsia="en-US"/>
    </w:rPr>
  </w:style>
  <w:style w:type="character" w:customStyle="1" w:styleId="164">
    <w:name w:val="B2 Char"/>
    <w:link w:val="125"/>
    <w:qFormat/>
    <w:uiPriority w:val="0"/>
    <w:rPr>
      <w:rFonts w:ascii="Times New Roman" w:hAnsi="Times New Roman"/>
      <w:lang w:val="en-GB" w:eastAsia="en-US"/>
    </w:rPr>
  </w:style>
  <w:style w:type="paragraph" w:customStyle="1" w:styleId="165">
    <w:name w:val="TAJ"/>
    <w:basedOn w:val="104"/>
    <w:qFormat/>
    <w:uiPriority w:val="0"/>
    <w:rPr>
      <w:rFonts w:eastAsia="等线"/>
    </w:rPr>
  </w:style>
  <w:style w:type="paragraph" w:customStyle="1" w:styleId="166">
    <w:name w:val="Guidance"/>
    <w:basedOn w:val="1"/>
    <w:qFormat/>
    <w:uiPriority w:val="0"/>
    <w:rPr>
      <w:rFonts w:eastAsia="等线"/>
      <w:i/>
      <w:color w:val="0000FF"/>
    </w:rPr>
  </w:style>
  <w:style w:type="character" w:customStyle="1" w:styleId="167">
    <w:name w:val="批注框文本 字符"/>
    <w:link w:val="60"/>
    <w:qFormat/>
    <w:uiPriority w:val="0"/>
    <w:rPr>
      <w:rFonts w:ascii="Tahoma" w:hAnsi="Tahoma" w:cs="Tahoma"/>
      <w:sz w:val="16"/>
      <w:szCs w:val="16"/>
      <w:lang w:val="en-GB" w:eastAsia="en-US"/>
    </w:rPr>
  </w:style>
  <w:style w:type="character" w:customStyle="1" w:styleId="168">
    <w:name w:val="Unresolved Mention1"/>
    <w:semiHidden/>
    <w:unhideWhenUsed/>
    <w:qFormat/>
    <w:uiPriority w:val="99"/>
    <w:rPr>
      <w:color w:val="605E5C"/>
      <w:shd w:val="clear" w:color="auto" w:fill="E1DFDD"/>
    </w:rPr>
  </w:style>
  <w:style w:type="character" w:customStyle="1" w:styleId="169">
    <w:name w:val="EX Car"/>
    <w:link w:val="106"/>
    <w:qFormat/>
    <w:uiPriority w:val="0"/>
    <w:rPr>
      <w:rFonts w:ascii="Times New Roman" w:hAnsi="Times New Roman"/>
      <w:lang w:val="en-GB" w:eastAsia="en-US"/>
    </w:rPr>
  </w:style>
  <w:style w:type="paragraph" w:customStyle="1" w:styleId="170">
    <w:name w:val="TempNote"/>
    <w:basedOn w:val="1"/>
    <w:qFormat/>
    <w:uiPriority w:val="0"/>
    <w:pPr>
      <w:overflowPunct w:val="0"/>
      <w:autoSpaceDE w:val="0"/>
      <w:autoSpaceDN w:val="0"/>
      <w:adjustRightInd w:val="0"/>
      <w:spacing w:after="0"/>
      <w:textAlignment w:val="baseline"/>
    </w:pPr>
    <w:rPr>
      <w:rFonts w:ascii="Arial" w:hAnsi="Arial" w:eastAsia="等线"/>
      <w:i/>
      <w:color w:val="0070C0"/>
    </w:rPr>
  </w:style>
  <w:style w:type="paragraph" w:customStyle="1" w:styleId="171">
    <w:name w:val="TemplateH4"/>
    <w:basedOn w:val="1"/>
    <w:qFormat/>
    <w:uiPriority w:val="0"/>
    <w:pPr>
      <w:overflowPunct w:val="0"/>
      <w:autoSpaceDE w:val="0"/>
      <w:autoSpaceDN w:val="0"/>
      <w:adjustRightInd w:val="0"/>
      <w:textAlignment w:val="baseline"/>
    </w:pPr>
    <w:rPr>
      <w:rFonts w:ascii="Arial" w:hAnsi="Arial" w:eastAsia="等线" w:cs="Arial"/>
      <w:sz w:val="24"/>
      <w:szCs w:val="24"/>
    </w:rPr>
  </w:style>
  <w:style w:type="paragraph" w:customStyle="1" w:styleId="172">
    <w:name w:val="AltNormal"/>
    <w:basedOn w:val="1"/>
    <w:link w:val="173"/>
    <w:qFormat/>
    <w:uiPriority w:val="0"/>
    <w:pPr>
      <w:spacing w:before="120" w:after="0"/>
    </w:pPr>
    <w:rPr>
      <w:rFonts w:ascii="Arial" w:hAnsi="Arial" w:eastAsia="等线"/>
    </w:rPr>
  </w:style>
  <w:style w:type="character" w:customStyle="1" w:styleId="173">
    <w:name w:val="AltNormal Char"/>
    <w:link w:val="172"/>
    <w:qFormat/>
    <w:uiPriority w:val="0"/>
    <w:rPr>
      <w:rFonts w:ascii="Arial" w:hAnsi="Arial" w:eastAsia="等线"/>
      <w:lang w:val="en-GB" w:eastAsia="en-US"/>
    </w:rPr>
  </w:style>
  <w:style w:type="paragraph" w:customStyle="1" w:styleId="174">
    <w:name w:val="TemplateH3"/>
    <w:basedOn w:val="1"/>
    <w:qFormat/>
    <w:uiPriority w:val="0"/>
    <w:pPr>
      <w:overflowPunct w:val="0"/>
      <w:autoSpaceDE w:val="0"/>
      <w:autoSpaceDN w:val="0"/>
      <w:adjustRightInd w:val="0"/>
      <w:textAlignment w:val="baseline"/>
    </w:pPr>
    <w:rPr>
      <w:rFonts w:ascii="Arial" w:hAnsi="Arial" w:eastAsia="等线" w:cs="Arial"/>
      <w:sz w:val="28"/>
      <w:szCs w:val="28"/>
    </w:rPr>
  </w:style>
  <w:style w:type="paragraph" w:customStyle="1" w:styleId="175">
    <w:name w:val="TemplateH2"/>
    <w:basedOn w:val="1"/>
    <w:qFormat/>
    <w:uiPriority w:val="0"/>
    <w:pPr>
      <w:overflowPunct w:val="0"/>
      <w:autoSpaceDE w:val="0"/>
      <w:autoSpaceDN w:val="0"/>
      <w:adjustRightInd w:val="0"/>
      <w:textAlignment w:val="baseline"/>
    </w:pPr>
    <w:rPr>
      <w:rFonts w:ascii="Arial" w:hAnsi="Arial" w:eastAsia="等线" w:cs="Arial"/>
      <w:sz w:val="32"/>
      <w:szCs w:val="32"/>
    </w:rPr>
  </w:style>
  <w:style w:type="character" w:customStyle="1" w:styleId="176">
    <w:name w:val="TAL Char"/>
    <w:link w:val="102"/>
    <w:qFormat/>
    <w:locked/>
    <w:uiPriority w:val="0"/>
    <w:rPr>
      <w:rFonts w:ascii="Arial" w:hAnsi="Arial"/>
      <w:sz w:val="18"/>
      <w:lang w:val="en-GB" w:eastAsia="en-US"/>
    </w:rPr>
  </w:style>
  <w:style w:type="character" w:customStyle="1" w:styleId="177">
    <w:name w:val="TAH Char"/>
    <w:link w:val="100"/>
    <w:qFormat/>
    <w:locked/>
    <w:uiPriority w:val="0"/>
    <w:rPr>
      <w:rFonts w:ascii="Arial" w:hAnsi="Arial"/>
      <w:b/>
      <w:sz w:val="18"/>
      <w:lang w:val="en-GB" w:eastAsia="en-US"/>
    </w:rPr>
  </w:style>
  <w:style w:type="character" w:customStyle="1" w:styleId="178">
    <w:name w:val="TH Char"/>
    <w:link w:val="104"/>
    <w:qFormat/>
    <w:locked/>
    <w:uiPriority w:val="0"/>
    <w:rPr>
      <w:rFonts w:ascii="Arial" w:hAnsi="Arial"/>
      <w:b/>
      <w:lang w:val="en-GB" w:eastAsia="en-US"/>
    </w:rPr>
  </w:style>
  <w:style w:type="character" w:customStyle="1" w:styleId="179">
    <w:name w:val="NO Zchn"/>
    <w:link w:val="105"/>
    <w:qFormat/>
    <w:uiPriority w:val="0"/>
    <w:rPr>
      <w:rFonts w:ascii="Times New Roman" w:hAnsi="Times New Roman"/>
      <w:lang w:val="en-GB" w:eastAsia="en-US"/>
    </w:rPr>
  </w:style>
  <w:style w:type="character" w:customStyle="1" w:styleId="180">
    <w:name w:val="TAC Char"/>
    <w:link w:val="101"/>
    <w:qFormat/>
    <w:uiPriority w:val="0"/>
    <w:rPr>
      <w:rFonts w:ascii="Arial" w:hAnsi="Arial"/>
      <w:sz w:val="18"/>
      <w:lang w:val="en-GB" w:eastAsia="en-US"/>
    </w:rPr>
  </w:style>
  <w:style w:type="character" w:customStyle="1" w:styleId="181">
    <w:name w:val="标题 4 字符"/>
    <w:link w:val="6"/>
    <w:qFormat/>
    <w:uiPriority w:val="0"/>
    <w:rPr>
      <w:rFonts w:ascii="Arial" w:hAnsi="Arial"/>
      <w:sz w:val="24"/>
      <w:lang w:val="en-GB" w:eastAsia="en-US"/>
    </w:rPr>
  </w:style>
  <w:style w:type="paragraph" w:customStyle="1" w:styleId="182">
    <w:name w:val="修订1"/>
    <w:hidden/>
    <w:semiHidden/>
    <w:qFormat/>
    <w:uiPriority w:val="99"/>
    <w:rPr>
      <w:rFonts w:ascii="Times New Roman" w:hAnsi="Times New Roman" w:eastAsia="等线" w:cs="Times New Roman"/>
      <w:lang w:val="en-GB" w:eastAsia="en-US" w:bidi="ar-SA"/>
    </w:rPr>
  </w:style>
  <w:style w:type="character" w:customStyle="1" w:styleId="183">
    <w:name w:val="TAN Char"/>
    <w:link w:val="115"/>
    <w:qFormat/>
    <w:uiPriority w:val="0"/>
    <w:rPr>
      <w:rFonts w:ascii="Arial" w:hAnsi="Arial"/>
      <w:sz w:val="18"/>
      <w:lang w:val="en-GB" w:eastAsia="en-US"/>
    </w:rPr>
  </w:style>
  <w:style w:type="character" w:customStyle="1" w:styleId="184">
    <w:name w:val="文档结构图 字符"/>
    <w:link w:val="37"/>
    <w:qFormat/>
    <w:uiPriority w:val="0"/>
    <w:rPr>
      <w:rFonts w:ascii="Tahoma" w:hAnsi="Tahoma" w:cs="Tahoma"/>
      <w:shd w:val="clear" w:color="auto" w:fill="000080"/>
      <w:lang w:val="en-GB" w:eastAsia="en-US"/>
    </w:rPr>
  </w:style>
  <w:style w:type="character" w:customStyle="1" w:styleId="185">
    <w:name w:val="标题 2 字符"/>
    <w:basedOn w:val="91"/>
    <w:link w:val="4"/>
    <w:qFormat/>
    <w:uiPriority w:val="0"/>
    <w:rPr>
      <w:rFonts w:ascii="Arial" w:hAnsi="Arial"/>
      <w:sz w:val="32"/>
      <w:lang w:val="en-GB" w:eastAsia="en-US"/>
    </w:rPr>
  </w:style>
  <w:style w:type="character" w:customStyle="1" w:styleId="186">
    <w:name w:val="标题 8 字符"/>
    <w:basedOn w:val="91"/>
    <w:link w:val="11"/>
    <w:qFormat/>
    <w:uiPriority w:val="0"/>
    <w:rPr>
      <w:rFonts w:ascii="Arial" w:hAnsi="Arial"/>
      <w:sz w:val="36"/>
      <w:lang w:val="en-GB" w:eastAsia="en-US"/>
    </w:rPr>
  </w:style>
  <w:style w:type="character" w:customStyle="1" w:styleId="187">
    <w:name w:val="标题 5 字符"/>
    <w:basedOn w:val="91"/>
    <w:link w:val="7"/>
    <w:qFormat/>
    <w:uiPriority w:val="0"/>
    <w:rPr>
      <w:rFonts w:ascii="Arial" w:hAnsi="Arial"/>
      <w:sz w:val="22"/>
      <w:lang w:val="en-GB" w:eastAsia="en-US"/>
    </w:rPr>
  </w:style>
  <w:style w:type="character" w:customStyle="1" w:styleId="188">
    <w:name w:val="EW Char"/>
    <w:link w:val="110"/>
    <w:qFormat/>
    <w:locked/>
    <w:uiPriority w:val="0"/>
    <w:rPr>
      <w:rFonts w:ascii="Times New Roman" w:hAnsi="Times New Roman"/>
      <w:lang w:val="en-GB" w:eastAsia="en-US"/>
    </w:rPr>
  </w:style>
  <w:style w:type="character" w:customStyle="1" w:styleId="189">
    <w:name w:val="Editor's Note Char"/>
    <w:link w:val="123"/>
    <w:qFormat/>
    <w:uiPriority w:val="0"/>
    <w:rPr>
      <w:rFonts w:ascii="Times New Roman" w:hAnsi="Times New Roman"/>
      <w:color w:val="FF0000"/>
      <w:lang w:val="en-GB" w:eastAsia="en-US"/>
    </w:rPr>
  </w:style>
  <w:style w:type="character" w:customStyle="1" w:styleId="190">
    <w:name w:val="批注文字 字符"/>
    <w:basedOn w:val="91"/>
    <w:link w:val="39"/>
    <w:qFormat/>
    <w:uiPriority w:val="0"/>
    <w:rPr>
      <w:rFonts w:ascii="Times New Roman" w:hAnsi="Times New Roman"/>
      <w:lang w:val="en-GB" w:eastAsia="en-US"/>
    </w:rPr>
  </w:style>
  <w:style w:type="character" w:customStyle="1" w:styleId="191">
    <w:name w:val="批注主题 字符"/>
    <w:basedOn w:val="190"/>
    <w:link w:val="86"/>
    <w:qFormat/>
    <w:uiPriority w:val="0"/>
    <w:rPr>
      <w:rFonts w:ascii="Times New Roman" w:hAnsi="Times New Roman"/>
      <w:b/>
      <w:bCs/>
      <w:lang w:val="en-GB" w:eastAsia="en-US"/>
    </w:rPr>
  </w:style>
  <w:style w:type="character" w:customStyle="1" w:styleId="192">
    <w:name w:val="脚注文本 字符"/>
    <w:basedOn w:val="91"/>
    <w:link w:val="70"/>
    <w:qFormat/>
    <w:uiPriority w:val="0"/>
    <w:rPr>
      <w:rFonts w:ascii="Times New Roman" w:hAnsi="Times New Roman"/>
      <w:sz w:val="16"/>
      <w:lang w:val="en-GB" w:eastAsia="en-US"/>
    </w:rPr>
  </w:style>
  <w:style w:type="character" w:customStyle="1" w:styleId="193">
    <w:name w:val="TF Char"/>
    <w:link w:val="103"/>
    <w:qFormat/>
    <w:uiPriority w:val="0"/>
    <w:rPr>
      <w:rFonts w:ascii="Arial" w:hAnsi="Arial"/>
      <w:b/>
      <w:lang w:val="en-GB" w:eastAsia="en-US"/>
    </w:rPr>
  </w:style>
  <w:style w:type="character" w:customStyle="1" w:styleId="194">
    <w:name w:val="标题 3 字符"/>
    <w:link w:val="5"/>
    <w:qFormat/>
    <w:uiPriority w:val="0"/>
    <w:rPr>
      <w:rFonts w:ascii="Arial" w:hAnsi="Arial"/>
      <w:sz w:val="28"/>
      <w:lang w:val="en-GB" w:eastAsia="en-US"/>
    </w:rPr>
  </w:style>
  <w:style w:type="paragraph" w:customStyle="1" w:styleId="195">
    <w:name w:val="msonormal"/>
    <w:basedOn w:val="1"/>
    <w:qFormat/>
    <w:uiPriority w:val="0"/>
    <w:pPr>
      <w:spacing w:before="100" w:beforeAutospacing="1" w:after="100" w:afterAutospacing="1"/>
    </w:pPr>
    <w:rPr>
      <w:rFonts w:eastAsia="Times New Roman"/>
      <w:sz w:val="24"/>
      <w:szCs w:val="24"/>
      <w:lang w:eastAsia="en-IN"/>
    </w:rPr>
  </w:style>
  <w:style w:type="character" w:customStyle="1" w:styleId="196">
    <w:name w:val="NO Char"/>
    <w:qFormat/>
    <w:uiPriority w:val="0"/>
    <w:rPr>
      <w:rFonts w:ascii="Times New Roman" w:hAnsi="Times New Roman"/>
      <w:lang w:val="en-GB" w:eastAsia="en-US"/>
    </w:rPr>
  </w:style>
  <w:style w:type="character" w:customStyle="1" w:styleId="197">
    <w:name w:val="TAH Car"/>
    <w:qFormat/>
    <w:uiPriority w:val="0"/>
    <w:rPr>
      <w:rFonts w:ascii="Arial" w:hAnsi="Arial"/>
      <w:b/>
      <w:sz w:val="18"/>
      <w:lang w:val="en-GB" w:eastAsia="en-US"/>
    </w:rPr>
  </w:style>
  <w:style w:type="character" w:customStyle="1" w:styleId="198">
    <w:name w:val="Editor's Note Zchn"/>
    <w:qFormat/>
    <w:uiPriority w:val="0"/>
    <w:rPr>
      <w:rFonts w:ascii="Times New Roman" w:hAnsi="Times New Roman"/>
      <w:color w:val="FF0000"/>
      <w:lang w:val="en-GB"/>
    </w:rPr>
  </w:style>
  <w:style w:type="character" w:customStyle="1" w:styleId="199">
    <w:name w:val="Editor's Note Char Char"/>
    <w:qFormat/>
    <w:locked/>
    <w:uiPriority w:val="0"/>
    <w:rPr>
      <w:color w:val="FF0000"/>
      <w:lang w:val="en-GB" w:eastAsia="en-US"/>
    </w:rPr>
  </w:style>
  <w:style w:type="character" w:customStyle="1" w:styleId="200">
    <w:name w:val="标题 1 字符"/>
    <w:link w:val="3"/>
    <w:qFormat/>
    <w:uiPriority w:val="0"/>
    <w:rPr>
      <w:rFonts w:ascii="Arial" w:hAnsi="Arial"/>
      <w:sz w:val="36"/>
      <w:lang w:val="en-GB" w:eastAsia="en-US"/>
    </w:rPr>
  </w:style>
  <w:style w:type="character" w:customStyle="1" w:styleId="201">
    <w:name w:val="H6 (文字)"/>
    <w:link w:val="9"/>
    <w:qFormat/>
    <w:uiPriority w:val="0"/>
    <w:rPr>
      <w:rFonts w:ascii="Arial" w:hAnsi="Arial"/>
      <w:lang w:val="en-GB" w:eastAsia="en-US"/>
    </w:rPr>
  </w:style>
  <w:style w:type="character" w:customStyle="1" w:styleId="202">
    <w:name w:val="TH Zchn"/>
    <w:qFormat/>
    <w:uiPriority w:val="0"/>
    <w:rPr>
      <w:rFonts w:ascii="Arial" w:hAnsi="Arial"/>
      <w:b/>
      <w:lang w:eastAsia="en-US"/>
    </w:rPr>
  </w:style>
  <w:style w:type="character" w:customStyle="1" w:styleId="203">
    <w:name w:val="TAN (文字)"/>
    <w:qFormat/>
    <w:uiPriority w:val="0"/>
    <w:rPr>
      <w:rFonts w:ascii="Arial" w:hAnsi="Arial"/>
      <w:sz w:val="18"/>
      <w:lang w:eastAsia="en-US"/>
    </w:rPr>
  </w:style>
  <w:style w:type="character" w:customStyle="1" w:styleId="204">
    <w:name w:val="B3 Char"/>
    <w:link w:val="126"/>
    <w:qFormat/>
    <w:uiPriority w:val="0"/>
    <w:rPr>
      <w:rFonts w:ascii="Times New Roman" w:hAnsi="Times New Roman"/>
      <w:lang w:val="en-GB" w:eastAsia="en-US"/>
    </w:rPr>
  </w:style>
  <w:style w:type="character" w:customStyle="1" w:styleId="205">
    <w:name w:val="页脚 字符"/>
    <w:link w:val="61"/>
    <w:qFormat/>
    <w:uiPriority w:val="0"/>
    <w:rPr>
      <w:rFonts w:ascii="Arial" w:hAnsi="Arial"/>
      <w:b/>
      <w:i/>
      <w:sz w:val="18"/>
      <w:lang w:val="en-GB" w:eastAsia="en-US"/>
    </w:rPr>
  </w:style>
  <w:style w:type="paragraph" w:customStyle="1" w:styleId="206">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rPr>
  </w:style>
  <w:style w:type="character" w:customStyle="1" w:styleId="207">
    <w:name w:val="CR Cover Page Zchn"/>
    <w:link w:val="130"/>
    <w:qFormat/>
    <w:uiPriority w:val="0"/>
    <w:rPr>
      <w:rFonts w:ascii="Arial" w:hAnsi="Arial"/>
      <w:lang w:val="en-GB" w:eastAsia="en-US"/>
    </w:rPr>
  </w:style>
  <w:style w:type="paragraph" w:customStyle="1" w:styleId="208">
    <w:name w:val="B1+"/>
    <w:basedOn w:val="124"/>
    <w:qFormat/>
    <w:uiPriority w:val="0"/>
    <w:pPr>
      <w:numPr>
        <w:ilvl w:val="0"/>
        <w:numId w:val="4"/>
      </w:numPr>
      <w:overflowPunct w:val="0"/>
      <w:autoSpaceDE w:val="0"/>
      <w:autoSpaceDN w:val="0"/>
      <w:adjustRightInd w:val="0"/>
      <w:textAlignment w:val="baseline"/>
    </w:pPr>
    <w:rPr>
      <w:rFonts w:eastAsia="Times New Roman"/>
    </w:rPr>
  </w:style>
  <w:style w:type="character" w:customStyle="1" w:styleId="209">
    <w:name w:val="未处理的提及1"/>
    <w:semiHidden/>
    <w:unhideWhenUsed/>
    <w:qFormat/>
    <w:uiPriority w:val="99"/>
    <w:rPr>
      <w:color w:val="808080"/>
      <w:shd w:val="clear" w:color="auto" w:fill="E6E6E6"/>
    </w:rPr>
  </w:style>
  <w:style w:type="character" w:customStyle="1" w:styleId="210">
    <w:name w:val="B1 Char1"/>
    <w:qFormat/>
    <w:uiPriority w:val="0"/>
    <w:rPr>
      <w:rFonts w:ascii="Times New Roman" w:hAnsi="Times New Roman"/>
      <w:lang w:val="en-GB"/>
    </w:rPr>
  </w:style>
  <w:style w:type="character" w:customStyle="1" w:styleId="211">
    <w:name w:val="B3 Char2"/>
    <w:qFormat/>
    <w:uiPriority w:val="0"/>
    <w:rPr>
      <w:lang w:eastAsia="en-US"/>
    </w:rPr>
  </w:style>
  <w:style w:type="table" w:customStyle="1" w:styleId="212">
    <w:name w:val="网格型1"/>
    <w:basedOn w:val="89"/>
    <w:qFormat/>
    <w:uiPriority w:val="39"/>
    <w:rPr>
      <w:rFonts w:ascii="Calibri" w:hAnsi="Calibri" w:cs="Arial"/>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3">
    <w:name w:val="标题 6 字符"/>
    <w:link w:val="8"/>
    <w:qFormat/>
    <w:uiPriority w:val="0"/>
    <w:rPr>
      <w:rFonts w:ascii="Arial" w:hAnsi="Arial"/>
      <w:lang w:val="en-GB" w:eastAsia="en-US"/>
    </w:rPr>
  </w:style>
  <w:style w:type="character" w:customStyle="1" w:styleId="214">
    <w:name w:val="标题 7 字符"/>
    <w:link w:val="10"/>
    <w:qFormat/>
    <w:uiPriority w:val="0"/>
    <w:rPr>
      <w:rFonts w:ascii="Arial" w:hAnsi="Arial"/>
      <w:lang w:val="en-GB" w:eastAsia="en-US"/>
    </w:rPr>
  </w:style>
  <w:style w:type="character" w:customStyle="1" w:styleId="215">
    <w:name w:val="标题 9 字符"/>
    <w:link w:val="12"/>
    <w:qFormat/>
    <w:uiPriority w:val="0"/>
    <w:rPr>
      <w:rFonts w:ascii="Arial" w:hAnsi="Arial"/>
      <w:sz w:val="36"/>
      <w:lang w:val="en-GB" w:eastAsia="en-US"/>
    </w:rPr>
  </w:style>
  <w:style w:type="character" w:customStyle="1" w:styleId="216">
    <w:name w:val="页眉 字符"/>
    <w:link w:val="62"/>
    <w:qFormat/>
    <w:uiPriority w:val="0"/>
    <w:rPr>
      <w:rFonts w:ascii="Arial" w:hAnsi="Arial"/>
      <w:b/>
      <w:sz w:val="18"/>
      <w:lang w:val="en-GB" w:eastAsia="en-US"/>
    </w:rPr>
  </w:style>
  <w:style w:type="character" w:customStyle="1" w:styleId="217">
    <w:name w:val="标题 5 字符1"/>
    <w:semiHidden/>
    <w:qFormat/>
    <w:locked/>
    <w:uiPriority w:val="0"/>
    <w:rPr>
      <w:rFonts w:ascii="Arial" w:hAnsi="Arial"/>
      <w:sz w:val="22"/>
      <w:lang w:val="en-GB" w:eastAsia="en-US"/>
    </w:rPr>
  </w:style>
  <w:style w:type="character" w:customStyle="1" w:styleId="218">
    <w:name w:val="Unresolved Mention2"/>
    <w:semiHidden/>
    <w:unhideWhenUsed/>
    <w:qFormat/>
    <w:uiPriority w:val="99"/>
    <w:rPr>
      <w:color w:val="808080"/>
      <w:shd w:val="clear" w:color="auto" w:fill="E6E6E6"/>
    </w:rPr>
  </w:style>
  <w:style w:type="paragraph" w:customStyle="1" w:styleId="219">
    <w:name w:val="Style1"/>
    <w:basedOn w:val="11"/>
    <w:qFormat/>
    <w:uiPriority w:val="0"/>
    <w:pPr>
      <w:pageBreakBefore/>
    </w:pPr>
  </w:style>
  <w:style w:type="character" w:customStyle="1" w:styleId="220">
    <w:name w:val="st1"/>
    <w:qFormat/>
    <w:uiPriority w:val="0"/>
  </w:style>
  <w:style w:type="paragraph" w:customStyle="1" w:styleId="221">
    <w:name w:val="LSHeader"/>
    <w:qFormat/>
    <w:uiPriority w:val="0"/>
    <w:pPr>
      <w:tabs>
        <w:tab w:val="right" w:pos="9781"/>
      </w:tabs>
    </w:pPr>
    <w:rPr>
      <w:rFonts w:ascii="Arial" w:hAnsi="Arial" w:eastAsia="宋体" w:cs="Times New Roman"/>
      <w:b/>
      <w:sz w:val="24"/>
      <w:lang w:val="en-GB" w:eastAsia="en-GB"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7D9C4-EBEE-4FB2-A6A4-D908A0C1DEF8}">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7</Pages>
  <Words>1567</Words>
  <Characters>8932</Characters>
  <Lines>74</Lines>
  <Paragraphs>20</Paragraphs>
  <TotalTime>1</TotalTime>
  <ScaleCrop>false</ScaleCrop>
  <LinksUpToDate>false</LinksUpToDate>
  <CharactersWithSpaces>10479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p:lastModifiedBy>
  <cp:lastPrinted>2411-12-31T15:59:00Z</cp:lastPrinted>
  <dcterms:modified xsi:type="dcterms:W3CDTF">2024-04-08T10:10:04Z</dcterms:modified>
  <dc:title>MTG_TITLE</dc:title>
  <cp:revision>302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(3)V42AGYP6R1b2SDKMYrBveX6MdZeQiT6FFJ4r7aZ6kOu6D8hoH2fbDsrrZ9Y6ZW8yNNv92Lvj
+k9U8ZB/QN0ei/psh1VY2xB34/StIIPW6kndR8CFFf8LaVjztcpWgbrx3899cSY2tXT5SINE
M+KurvICu7DMLhcBW2HWhDlcZht8PttDcFMTxuCjSUlhwxZgO7ofET9wCMjs4uUcqotgLmH+
qBxZYGOr9BMEHCt3dc</vt:lpwstr>
  </property>
  <property fmtid="{D5CDD505-2E9C-101B-9397-08002B2CF9AE}" pid="22" name="_2015_ms_pID_7253431">
    <vt:lpwstr>20gjeBUB9oa1HSbwy8DX4p0YFx3hGuZfKW9z4jzGLp0YM+aDvZDy7R
sk+tkUrMBIFfjlvIOs/F88WyBG2Y8AtPi7RBx0yC9kRuU1e0GXFrCTS7OddR9o90UA6x6VCk
vGVcggDQyJQnRTCXCF0XszpNedPP2NoGTpUuM7CmpttTiK0ORxtV3GZ0iXX2sFILxVtbc9a8
e/myAsC3mewfUgj6JrTzd0vLZlBrV8KfWV9T</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bQFXh/K7Iq5dUMmSiYvDckg=</vt:lpwstr>
  </property>
  <property fmtid="{D5CDD505-2E9C-101B-9397-08002B2CF9AE}" pid="28" name="KSOProductBuildVer">
    <vt:lpwstr>2052-11.8.2.12085</vt:lpwstr>
  </property>
  <property fmtid="{D5CDD505-2E9C-101B-9397-08002B2CF9AE}" pid="29" name="ICV">
    <vt:lpwstr>06403D15FA3B43D798C77D19F0949EAE</vt:lpwstr>
  </property>
</Properties>
</file>